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F109F">
      <w:pPr>
        <w:jc w:val="center"/>
        <w:rPr>
          <w:rFonts w:hint="eastAsia"/>
          <w:b/>
          <w:sz w:val="36"/>
        </w:rPr>
      </w:pPr>
    </w:p>
    <w:p w14:paraId="2B6CF903">
      <w:pPr>
        <w:jc w:val="center"/>
        <w:rPr>
          <w:rFonts w:hint="eastAsia"/>
          <w:b/>
          <w:sz w:val="36"/>
        </w:rPr>
      </w:pPr>
    </w:p>
    <w:p w14:paraId="179B254E">
      <w:pPr>
        <w:jc w:val="center"/>
        <w:rPr>
          <w:rFonts w:hint="eastAsia"/>
          <w:b/>
          <w:sz w:val="36"/>
        </w:rPr>
      </w:pPr>
    </w:p>
    <w:p w14:paraId="781DF966">
      <w:pPr>
        <w:jc w:val="center"/>
        <w:rPr>
          <w:rFonts w:hint="eastAsia"/>
          <w:b/>
          <w:sz w:val="36"/>
        </w:rPr>
      </w:pPr>
    </w:p>
    <w:p w14:paraId="42D22667">
      <w:pPr>
        <w:jc w:val="center"/>
        <w:rPr>
          <w:rFonts w:hint="eastAsia"/>
          <w:b/>
          <w:sz w:val="36"/>
        </w:rPr>
      </w:pPr>
    </w:p>
    <w:p w14:paraId="20C8E31C">
      <w:pPr>
        <w:jc w:val="center"/>
        <w:rPr>
          <w:rFonts w:hint="eastAsia"/>
          <w:b/>
          <w:sz w:val="36"/>
        </w:rPr>
      </w:pPr>
    </w:p>
    <w:p w14:paraId="37460CAD">
      <w:pPr>
        <w:jc w:val="center"/>
        <w:rPr>
          <w:rFonts w:hint="eastAsia"/>
          <w:b/>
          <w:sz w:val="36"/>
        </w:rPr>
      </w:pPr>
      <w:r>
        <w:rPr>
          <w:rFonts w:eastAsia="方正小标宋简体"/>
          <w:sz w:val="52"/>
          <w:szCs w:val="52"/>
        </w:rPr>
        <mc:AlternateContent>
          <mc:Choice Requires="wps">
            <w:drawing>
              <wp:anchor distT="0" distB="0" distL="114300" distR="114300" simplePos="0" relativeHeight="251659264" behindDoc="0" locked="0" layoutInCell="1" allowOverlap="1">
                <wp:simplePos x="0" y="0"/>
                <wp:positionH relativeFrom="column">
                  <wp:posOffset>-1115060</wp:posOffset>
                </wp:positionH>
                <wp:positionV relativeFrom="paragraph">
                  <wp:posOffset>266700</wp:posOffset>
                </wp:positionV>
                <wp:extent cx="7534275" cy="1678940"/>
                <wp:effectExtent l="5080" t="5080" r="4445" b="11430"/>
                <wp:wrapNone/>
                <wp:docPr id="1" name="文本框 1"/>
                <wp:cNvGraphicFramePr/>
                <a:graphic xmlns:a="http://schemas.openxmlformats.org/drawingml/2006/main">
                  <a:graphicData uri="http://schemas.microsoft.com/office/word/2010/wordprocessingShape">
                    <wps:wsp>
                      <wps:cNvSpPr txBox="1"/>
                      <wps:spPr>
                        <a:xfrm>
                          <a:off x="0" y="0"/>
                          <a:ext cx="7534275" cy="1678940"/>
                        </a:xfrm>
                        <a:prstGeom prst="rect">
                          <a:avLst/>
                        </a:prstGeom>
                        <a:solidFill>
                          <a:srgbClr val="FFFFFF"/>
                        </a:solidFill>
                        <a:ln w="0" cap="flat" cmpd="sng">
                          <a:solidFill>
                            <a:srgbClr val="FFFFFF"/>
                          </a:solidFill>
                          <a:prstDash val="solid"/>
                          <a:miter/>
                          <a:headEnd type="none" w="med" len="med"/>
                          <a:tailEnd type="none" w="med" len="med"/>
                        </a:ln>
                      </wps:spPr>
                      <wps:txbx>
                        <w:txbxContent>
                          <w:p w14:paraId="625FDBCC">
                            <w:pPr>
                              <w:jc w:val="center"/>
                              <w:outlineLvl w:val="0"/>
                              <w:rPr>
                                <w:rFonts w:ascii="方正小标宋简体" w:hAnsi="宋体" w:eastAsia="方正小标宋简体"/>
                                <w:sz w:val="52"/>
                                <w:szCs w:val="52"/>
                              </w:rPr>
                            </w:pPr>
                            <w:r>
                              <w:rPr>
                                <w:rFonts w:hint="eastAsia" w:ascii="方正小标宋简体" w:hAnsi="宋体" w:eastAsia="方正小标宋简体"/>
                                <w:sz w:val="52"/>
                                <w:szCs w:val="52"/>
                                <w:lang w:val="en-US" w:eastAsia="zh-CN"/>
                              </w:rPr>
                              <w:t>团标</w:t>
                            </w:r>
                            <w:r>
                              <w:rPr>
                                <w:rFonts w:hint="eastAsia" w:ascii="方正小标宋简体" w:hAnsi="宋体" w:eastAsia="方正小标宋简体"/>
                                <w:sz w:val="52"/>
                                <w:szCs w:val="52"/>
                              </w:rPr>
                              <w:t>《核电工程建设</w:t>
                            </w:r>
                            <w:r>
                              <w:rPr>
                                <w:rFonts w:hint="eastAsia" w:ascii="方正小标宋简体" w:hAnsi="宋体" w:eastAsia="方正小标宋简体"/>
                                <w:sz w:val="52"/>
                                <w:szCs w:val="52"/>
                                <w:lang w:val="en-US" w:eastAsia="zh-CN"/>
                              </w:rPr>
                              <w:t>项目风险分解结构指南</w:t>
                            </w:r>
                            <w:r>
                              <w:rPr>
                                <w:rFonts w:hint="eastAsia" w:ascii="方正小标宋简体" w:hAnsi="宋体" w:eastAsia="方正小标宋简体"/>
                                <w:sz w:val="52"/>
                                <w:szCs w:val="52"/>
                              </w:rPr>
                              <w:t>》</w:t>
                            </w:r>
                          </w:p>
                          <w:p w14:paraId="621D14D0">
                            <w:pPr>
                              <w:jc w:val="center"/>
                              <w:outlineLvl w:val="0"/>
                              <w:rPr>
                                <w:rFonts w:hint="eastAsia" w:ascii="方正小标宋简体" w:hAnsi="宋体" w:eastAsia="方正小标宋简体"/>
                                <w:sz w:val="52"/>
                                <w:szCs w:val="52"/>
                              </w:rPr>
                            </w:pPr>
                            <w:r>
                              <w:rPr>
                                <w:rFonts w:hint="eastAsia" w:ascii="宋体" w:hAnsi="宋体"/>
                                <w:spacing w:val="-20"/>
                                <w:sz w:val="36"/>
                                <w:szCs w:val="36"/>
                              </w:rPr>
                              <w:t>（</w:t>
                            </w:r>
                            <w:r>
                              <w:rPr>
                                <w:rFonts w:hint="eastAsia" w:ascii="宋体" w:hAnsi="宋体"/>
                                <w:spacing w:val="-20"/>
                                <w:sz w:val="36"/>
                                <w:szCs w:val="36"/>
                                <w:lang w:val="en-US" w:eastAsia="zh-CN"/>
                              </w:rPr>
                              <w:t>征求意见</w:t>
                            </w:r>
                            <w:r>
                              <w:rPr>
                                <w:rFonts w:hint="eastAsia" w:ascii="宋体" w:hAnsi="宋体"/>
                                <w:spacing w:val="-20"/>
                                <w:sz w:val="36"/>
                                <w:szCs w:val="36"/>
                              </w:rPr>
                              <w:t>稿）</w:t>
                            </w:r>
                          </w:p>
                          <w:p w14:paraId="0D346CCB">
                            <w:pPr>
                              <w:jc w:val="center"/>
                              <w:rPr>
                                <w:rFonts w:hint="eastAsia" w:ascii="方正小标宋简体" w:hAnsi="宋体" w:eastAsia="方正小标宋简体"/>
                                <w:sz w:val="52"/>
                                <w:szCs w:val="52"/>
                              </w:rPr>
                            </w:pPr>
                          </w:p>
                          <w:p w14:paraId="60A2A23A">
                            <w:pPr>
                              <w:jc w:val="center"/>
                              <w:rPr>
                                <w:rFonts w:ascii="方正小标宋简体" w:hAnsi="宋体" w:eastAsia="方正小标宋简体"/>
                                <w:sz w:val="52"/>
                                <w:szCs w:val="52"/>
                              </w:rPr>
                            </w:pPr>
                          </w:p>
                        </w:txbxContent>
                      </wps:txbx>
                      <wps:bodyPr upright="1"/>
                    </wps:wsp>
                  </a:graphicData>
                </a:graphic>
              </wp:anchor>
            </w:drawing>
          </mc:Choice>
          <mc:Fallback>
            <w:pict>
              <v:shape id="_x0000_s1026" o:spid="_x0000_s1026" o:spt="202" type="#_x0000_t202" style="position:absolute;left:0pt;margin-left:-87.8pt;margin-top:21pt;height:132.2pt;width:593.25pt;z-index:251659264;mso-width-relative:page;mso-height-relative:page;" fillcolor="#FFFFFF" filled="t" stroked="t" coordsize="21600,21600" o:gfxdata="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CpR7PaAAAADAEAAA8AAAAAAAAAAQAgAAAAIgAA&#10;AGRycy9kb3ducmV2LnhtbFBLAQIUABQAAAAIAIdO4kC0Ymm7BgIAADQEAAAOAAAAAAAAAAEAIAAA&#10;ACkBAABkcnMvZTJvRG9jLnhtbFBLBQYAAAAABgAGAFkBAAChBQAAAAA=&#10;">
                <v:fill on="t" focussize="0,0"/>
                <v:stroke weight="0pt" color="#FFFFFF" joinstyle="miter"/>
                <v:imagedata o:title=""/>
                <o:lock v:ext="edit" aspectratio="f"/>
                <v:textbox>
                  <w:txbxContent>
                    <w:p w14:paraId="625FDBCC">
                      <w:pPr>
                        <w:jc w:val="center"/>
                        <w:outlineLvl w:val="0"/>
                        <w:rPr>
                          <w:rFonts w:ascii="方正小标宋简体" w:hAnsi="宋体" w:eastAsia="方正小标宋简体"/>
                          <w:sz w:val="52"/>
                          <w:szCs w:val="52"/>
                        </w:rPr>
                      </w:pPr>
                      <w:r>
                        <w:rPr>
                          <w:rFonts w:hint="eastAsia" w:ascii="方正小标宋简体" w:hAnsi="宋体" w:eastAsia="方正小标宋简体"/>
                          <w:sz w:val="52"/>
                          <w:szCs w:val="52"/>
                          <w:lang w:val="en-US" w:eastAsia="zh-CN"/>
                        </w:rPr>
                        <w:t>团标</w:t>
                      </w:r>
                      <w:r>
                        <w:rPr>
                          <w:rFonts w:hint="eastAsia" w:ascii="方正小标宋简体" w:hAnsi="宋体" w:eastAsia="方正小标宋简体"/>
                          <w:sz w:val="52"/>
                          <w:szCs w:val="52"/>
                        </w:rPr>
                        <w:t>《核电工程建设</w:t>
                      </w:r>
                      <w:r>
                        <w:rPr>
                          <w:rFonts w:hint="eastAsia" w:ascii="方正小标宋简体" w:hAnsi="宋体" w:eastAsia="方正小标宋简体"/>
                          <w:sz w:val="52"/>
                          <w:szCs w:val="52"/>
                          <w:lang w:val="en-US" w:eastAsia="zh-CN"/>
                        </w:rPr>
                        <w:t>项目风险分解结构指南</w:t>
                      </w:r>
                      <w:r>
                        <w:rPr>
                          <w:rFonts w:hint="eastAsia" w:ascii="方正小标宋简体" w:hAnsi="宋体" w:eastAsia="方正小标宋简体"/>
                          <w:sz w:val="52"/>
                          <w:szCs w:val="52"/>
                        </w:rPr>
                        <w:t>》</w:t>
                      </w:r>
                    </w:p>
                    <w:p w14:paraId="621D14D0">
                      <w:pPr>
                        <w:jc w:val="center"/>
                        <w:outlineLvl w:val="0"/>
                        <w:rPr>
                          <w:rFonts w:hint="eastAsia" w:ascii="方正小标宋简体" w:hAnsi="宋体" w:eastAsia="方正小标宋简体"/>
                          <w:sz w:val="52"/>
                          <w:szCs w:val="52"/>
                        </w:rPr>
                      </w:pPr>
                      <w:r>
                        <w:rPr>
                          <w:rFonts w:hint="eastAsia" w:ascii="宋体" w:hAnsi="宋体"/>
                          <w:spacing w:val="-20"/>
                          <w:sz w:val="36"/>
                          <w:szCs w:val="36"/>
                        </w:rPr>
                        <w:t>（</w:t>
                      </w:r>
                      <w:r>
                        <w:rPr>
                          <w:rFonts w:hint="eastAsia" w:ascii="宋体" w:hAnsi="宋体"/>
                          <w:spacing w:val="-20"/>
                          <w:sz w:val="36"/>
                          <w:szCs w:val="36"/>
                          <w:lang w:val="en-US" w:eastAsia="zh-CN"/>
                        </w:rPr>
                        <w:t>征求意见</w:t>
                      </w:r>
                      <w:r>
                        <w:rPr>
                          <w:rFonts w:hint="eastAsia" w:ascii="宋体" w:hAnsi="宋体"/>
                          <w:spacing w:val="-20"/>
                          <w:sz w:val="36"/>
                          <w:szCs w:val="36"/>
                        </w:rPr>
                        <w:t>稿）</w:t>
                      </w:r>
                    </w:p>
                    <w:p w14:paraId="0D346CCB">
                      <w:pPr>
                        <w:jc w:val="center"/>
                        <w:rPr>
                          <w:rFonts w:hint="eastAsia" w:ascii="方正小标宋简体" w:hAnsi="宋体" w:eastAsia="方正小标宋简体"/>
                          <w:sz w:val="52"/>
                          <w:szCs w:val="52"/>
                        </w:rPr>
                      </w:pPr>
                    </w:p>
                    <w:p w14:paraId="60A2A23A">
                      <w:pPr>
                        <w:jc w:val="center"/>
                        <w:rPr>
                          <w:rFonts w:ascii="方正小标宋简体" w:hAnsi="宋体" w:eastAsia="方正小标宋简体"/>
                          <w:sz w:val="52"/>
                          <w:szCs w:val="52"/>
                        </w:rPr>
                      </w:pPr>
                    </w:p>
                  </w:txbxContent>
                </v:textbox>
              </v:shape>
            </w:pict>
          </mc:Fallback>
        </mc:AlternateContent>
      </w:r>
    </w:p>
    <w:p w14:paraId="14952CEC">
      <w:pPr>
        <w:jc w:val="center"/>
        <w:rPr>
          <w:rFonts w:hint="eastAsia"/>
          <w:b/>
          <w:sz w:val="36"/>
        </w:rPr>
      </w:pPr>
    </w:p>
    <w:p w14:paraId="298CB3A8">
      <w:pPr>
        <w:jc w:val="center"/>
        <w:rPr>
          <w:rFonts w:hint="eastAsia"/>
          <w:b/>
          <w:sz w:val="36"/>
        </w:rPr>
      </w:pPr>
    </w:p>
    <w:p w14:paraId="7897AEAB">
      <w:pPr>
        <w:jc w:val="center"/>
        <w:rPr>
          <w:rFonts w:hint="eastAsia"/>
          <w:b/>
          <w:sz w:val="36"/>
        </w:rPr>
      </w:pPr>
    </w:p>
    <w:p w14:paraId="590B5130">
      <w:pPr>
        <w:jc w:val="center"/>
        <w:rPr>
          <w:rFonts w:hint="eastAsia"/>
          <w:b/>
          <w:sz w:val="36"/>
        </w:rPr>
      </w:pPr>
    </w:p>
    <w:p w14:paraId="4655965A">
      <w:pPr>
        <w:jc w:val="center"/>
        <w:rPr>
          <w:rFonts w:hint="eastAsia"/>
          <w:b/>
          <w:sz w:val="36"/>
        </w:rPr>
      </w:pPr>
    </w:p>
    <w:p w14:paraId="08370187">
      <w:pPr>
        <w:jc w:val="center"/>
        <w:rPr>
          <w:rFonts w:eastAsia="方正小标宋简体"/>
          <w:sz w:val="52"/>
          <w:szCs w:val="52"/>
        </w:rPr>
      </w:pPr>
      <w:r>
        <w:rPr>
          <w:rFonts w:eastAsia="方正小标宋简体"/>
          <w:sz w:val="52"/>
          <w:szCs w:val="52"/>
        </w:rPr>
        <w:t>编 制 说 明</w:t>
      </w:r>
    </w:p>
    <w:p w14:paraId="01FB6680">
      <w:pPr>
        <w:jc w:val="center"/>
        <w:rPr>
          <w:rFonts w:hint="eastAsia"/>
          <w:b/>
          <w:sz w:val="36"/>
        </w:rPr>
      </w:pPr>
    </w:p>
    <w:p w14:paraId="1B62A29F">
      <w:pPr>
        <w:jc w:val="center"/>
        <w:rPr>
          <w:rFonts w:hint="eastAsia"/>
          <w:b/>
          <w:sz w:val="36"/>
        </w:rPr>
      </w:pPr>
    </w:p>
    <w:p w14:paraId="38CF1AC2">
      <w:pPr>
        <w:jc w:val="center"/>
        <w:rPr>
          <w:rFonts w:hint="eastAsia"/>
          <w:b/>
          <w:sz w:val="36"/>
        </w:rPr>
      </w:pPr>
    </w:p>
    <w:p w14:paraId="3F15C1CD">
      <w:pPr>
        <w:keepNext/>
        <w:keepLines/>
        <w:autoSpaceDN w:val="0"/>
        <w:spacing w:line="360" w:lineRule="auto"/>
        <w:jc w:val="center"/>
        <w:rPr>
          <w:sz w:val="36"/>
        </w:rPr>
      </w:pPr>
      <w:r>
        <w:rPr>
          <w:sz w:val="36"/>
        </w:rPr>
        <w:t>标准起草组</w:t>
      </w:r>
    </w:p>
    <w:p w14:paraId="4AE77D9F">
      <w:pPr>
        <w:jc w:val="center"/>
        <w:rPr>
          <w:sz w:val="36"/>
        </w:rPr>
      </w:pPr>
      <w:r>
        <w:rPr>
          <w:sz w:val="36"/>
        </w:rPr>
        <w:t>20</w:t>
      </w:r>
      <w:r>
        <w:rPr>
          <w:rFonts w:hint="eastAsia"/>
          <w:sz w:val="36"/>
        </w:rPr>
        <w:t>2</w:t>
      </w:r>
      <w:r>
        <w:rPr>
          <w:rFonts w:hint="eastAsia"/>
          <w:sz w:val="36"/>
          <w:lang w:val="en-US" w:eastAsia="zh-CN"/>
        </w:rPr>
        <w:t>5</w:t>
      </w:r>
      <w:r>
        <w:rPr>
          <w:sz w:val="36"/>
        </w:rPr>
        <w:t>年</w:t>
      </w:r>
      <w:r>
        <w:rPr>
          <w:rFonts w:hint="eastAsia"/>
          <w:sz w:val="36"/>
          <w:lang w:val="en-US" w:eastAsia="zh-CN"/>
        </w:rPr>
        <w:t>10</w:t>
      </w:r>
      <w:r>
        <w:rPr>
          <w:sz w:val="36"/>
        </w:rPr>
        <w:t>月</w:t>
      </w:r>
    </w:p>
    <w:p w14:paraId="0F24AE8B">
      <w:pPr>
        <w:jc w:val="center"/>
        <w:rPr>
          <w:rFonts w:hint="eastAsia"/>
          <w:b/>
          <w:sz w:val="36"/>
        </w:rPr>
      </w:pPr>
    </w:p>
    <w:p w14:paraId="2513816C">
      <w:pPr>
        <w:jc w:val="center"/>
        <w:rPr>
          <w:rFonts w:hint="eastAsia"/>
          <w:b/>
          <w:sz w:val="36"/>
        </w:rPr>
      </w:pPr>
    </w:p>
    <w:p w14:paraId="1A3CD20C">
      <w:pPr>
        <w:jc w:val="center"/>
        <w:rPr>
          <w:rFonts w:hint="eastAsia"/>
          <w:b/>
          <w:sz w:val="36"/>
        </w:rPr>
      </w:pPr>
    </w:p>
    <w:p w14:paraId="50DBAFA7">
      <w:pPr>
        <w:jc w:val="center"/>
        <w:rPr>
          <w:rFonts w:hint="eastAsia"/>
          <w:b/>
          <w:sz w:val="36"/>
        </w:rPr>
      </w:pPr>
    </w:p>
    <w:p w14:paraId="1FC085A4">
      <w:pPr>
        <w:jc w:val="both"/>
        <w:rPr>
          <w:b/>
          <w:sz w:val="36"/>
        </w:rPr>
      </w:pPr>
      <w:r>
        <w:rPr>
          <w:rFonts w:hint="eastAsia"/>
          <w:b/>
          <w:sz w:val="36"/>
        </w:rPr>
        <w:t>《</w:t>
      </w:r>
      <w:r>
        <w:rPr>
          <w:rFonts w:hint="eastAsia" w:ascii="宋体" w:hAnsi="宋体" w:eastAsia="宋体"/>
          <w:b/>
          <w:sz w:val="36"/>
          <w:lang w:val="en-US" w:eastAsia="zh-CN"/>
        </w:rPr>
        <w:t>核电工程建设项目风险分解结构指南</w:t>
      </w:r>
      <w:r>
        <w:rPr>
          <w:rFonts w:hint="eastAsia" w:ascii="宋体" w:hAnsi="宋体" w:eastAsia="宋体"/>
          <w:b/>
          <w:sz w:val="36"/>
        </w:rPr>
        <w:t>》</w:t>
      </w:r>
      <w:r>
        <w:rPr>
          <w:rFonts w:hint="eastAsia"/>
          <w:b/>
          <w:sz w:val="36"/>
        </w:rPr>
        <w:t>编制说明</w:t>
      </w:r>
    </w:p>
    <w:p w14:paraId="1C396E9A">
      <w:pPr>
        <w:jc w:val="center"/>
        <w:rPr>
          <w:b/>
          <w:sz w:val="36"/>
        </w:rPr>
      </w:pPr>
      <w:r>
        <w:rPr>
          <w:rFonts w:hint="eastAsia"/>
          <w:b/>
          <w:sz w:val="36"/>
        </w:rPr>
        <w:t>（征求意见稿）</w:t>
      </w:r>
    </w:p>
    <w:p w14:paraId="65426BA0">
      <w:pPr>
        <w:outlineLvl w:val="0"/>
        <w:rPr>
          <w:b/>
          <w:sz w:val="28"/>
          <w:szCs w:val="28"/>
        </w:rPr>
      </w:pPr>
      <w:r>
        <w:rPr>
          <w:rFonts w:hint="eastAsia"/>
          <w:b/>
          <w:sz w:val="28"/>
          <w:szCs w:val="28"/>
        </w:rPr>
        <w:t>一、工作简况</w:t>
      </w:r>
    </w:p>
    <w:p w14:paraId="0AB4BD4F">
      <w:pPr>
        <w:rPr>
          <w:b/>
        </w:rPr>
      </w:pPr>
      <w:r>
        <w:rPr>
          <w:rFonts w:hint="eastAsia"/>
          <w:b/>
        </w:rPr>
        <w:t>1、任务来源</w:t>
      </w:r>
    </w:p>
    <w:p w14:paraId="46ACB085">
      <w:pPr>
        <w:ind w:firstLine="480" w:firstLineChars="200"/>
        <w:rPr>
          <w:rFonts w:hint="default" w:ascii="宋体" w:hAnsi="宋体" w:eastAsia="宋体"/>
          <w:lang w:val="en-US" w:eastAsia="zh-CN"/>
        </w:rPr>
      </w:pPr>
      <w:r>
        <w:rPr>
          <w:rFonts w:hint="eastAsia" w:ascii="宋体" w:hAnsi="宋体" w:eastAsia="宋体"/>
        </w:rPr>
        <w:t>根据</w:t>
      </w:r>
      <w:r>
        <w:rPr>
          <w:rFonts w:hint="eastAsia" w:ascii="宋体" w:hAnsi="宋体" w:eastAsia="宋体"/>
          <w:lang w:val="en-US" w:eastAsia="zh-CN"/>
        </w:rPr>
        <w:t>中国</w:t>
      </w:r>
      <w:r>
        <w:rPr>
          <w:rFonts w:hint="eastAsia" w:ascii="宋体" w:hAnsi="宋体" w:eastAsia="宋体"/>
        </w:rPr>
        <w:t>核能行业协会</w:t>
      </w:r>
      <w:r>
        <w:rPr>
          <w:rFonts w:hint="eastAsia" w:ascii="宋体" w:hAnsi="宋体" w:eastAsia="宋体"/>
          <w:lang w:val="en-US" w:eastAsia="zh-CN"/>
        </w:rPr>
        <w:t>核协科函〔2025〕39 号文件，</w:t>
      </w:r>
      <w:r>
        <w:rPr>
          <w:rFonts w:hint="eastAsia" w:ascii="宋体" w:hAnsi="宋体" w:eastAsia="宋体"/>
        </w:rPr>
        <w:t>《核电工程建设项目风险分解结构指南》</w:t>
      </w:r>
      <w:r>
        <w:rPr>
          <w:rFonts w:hint="eastAsia" w:ascii="宋体" w:hAnsi="宋体" w:eastAsia="宋体"/>
          <w:lang w:val="en-US" w:eastAsia="zh-CN"/>
        </w:rPr>
        <w:t>已获准立项。</w:t>
      </w:r>
      <w:r>
        <w:rPr>
          <w:rFonts w:hint="eastAsia" w:ascii="宋体" w:hAnsi="宋体" w:eastAsia="宋体"/>
        </w:rPr>
        <w:t>中广核工程</w:t>
      </w:r>
      <w:r>
        <w:rPr>
          <w:rFonts w:hint="eastAsia"/>
          <w:lang w:val="en-US" w:eastAsia="zh-CN"/>
        </w:rPr>
        <w:t>有限</w:t>
      </w:r>
      <w:r>
        <w:rPr>
          <w:rFonts w:hint="eastAsia" w:ascii="宋体" w:hAnsi="宋体" w:eastAsia="宋体"/>
        </w:rPr>
        <w:t>公司作为主编单位</w:t>
      </w:r>
      <w:r>
        <w:rPr>
          <w:rFonts w:hint="eastAsia"/>
          <w:lang w:eastAsia="zh-CN"/>
        </w:rPr>
        <w:t>，</w:t>
      </w:r>
      <w:r>
        <w:rPr>
          <w:rFonts w:hint="eastAsia"/>
          <w:lang w:val="en-US" w:eastAsia="zh-CN"/>
        </w:rPr>
        <w:t>牵头组织</w:t>
      </w:r>
      <w:r>
        <w:rPr>
          <w:rFonts w:hint="eastAsia" w:ascii="宋体" w:hAnsi="宋体" w:eastAsia="宋体"/>
        </w:rPr>
        <w:t>《核电工程建设项目风险分解结构指南》</w:t>
      </w:r>
      <w:r>
        <w:rPr>
          <w:rFonts w:hint="eastAsia"/>
          <w:lang w:val="en-US" w:eastAsia="zh-CN"/>
        </w:rPr>
        <w:t>编制工作，</w:t>
      </w:r>
      <w:r>
        <w:rPr>
          <w:rFonts w:hint="eastAsia" w:ascii="宋体" w:hAnsi="宋体" w:eastAsia="宋体"/>
          <w:lang w:val="en-US" w:eastAsia="zh-CN"/>
        </w:rPr>
        <w:t>上海核工程研究设计院有限公司、福建宁德核电有限公司、中广核陆丰核电有限公司参与编制。</w:t>
      </w:r>
      <w:bookmarkStart w:id="0" w:name="BeginToEndTime"/>
      <w:r>
        <w:rPr>
          <w:rFonts w:hint="eastAsia" w:ascii="宋体" w:hAnsi="宋体" w:eastAsia="宋体"/>
          <w:lang w:val="en-US" w:eastAsia="zh-CN"/>
        </w:rPr>
        <w:t>项目周期16个月，于</w:t>
      </w:r>
      <w:r>
        <w:rPr>
          <w:rFonts w:hint="eastAsia" w:ascii="宋体" w:hAnsi="宋体" w:eastAsia="宋体"/>
        </w:rPr>
        <w:t>2025年6月</w:t>
      </w:r>
      <w:r>
        <w:rPr>
          <w:rFonts w:hint="eastAsia" w:ascii="宋体" w:hAnsi="宋体" w:eastAsia="宋体"/>
          <w:lang w:val="en-US" w:eastAsia="zh-CN"/>
        </w:rPr>
        <w:t>启动，计划</w:t>
      </w:r>
      <w:r>
        <w:rPr>
          <w:rFonts w:hint="eastAsia"/>
          <w:lang w:val="en-US" w:eastAsia="zh-CN"/>
        </w:rPr>
        <w:t>于</w:t>
      </w:r>
      <w:r>
        <w:rPr>
          <w:rFonts w:hint="eastAsia" w:ascii="宋体" w:hAnsi="宋体" w:eastAsia="宋体"/>
        </w:rPr>
        <w:t>2026年10月</w:t>
      </w:r>
      <w:bookmarkEnd w:id="0"/>
      <w:r>
        <w:rPr>
          <w:rFonts w:hint="eastAsia" w:ascii="宋体" w:hAnsi="宋体" w:eastAsia="宋体"/>
          <w:lang w:val="en-US" w:eastAsia="zh-CN"/>
        </w:rPr>
        <w:t>完成发布。</w:t>
      </w:r>
    </w:p>
    <w:p w14:paraId="2E713085">
      <w:pPr>
        <w:ind w:firstLine="480" w:firstLineChars="200"/>
        <w:rPr>
          <w:rFonts w:hint="eastAsia" w:ascii="宋体" w:hAnsi="宋体" w:eastAsia="宋体"/>
        </w:rPr>
      </w:pPr>
      <w:r>
        <w:rPr>
          <w:rFonts w:hint="eastAsia"/>
          <w:lang w:val="en-US" w:eastAsia="zh-CN"/>
        </w:rPr>
        <w:t>目前，</w:t>
      </w:r>
      <w:r>
        <w:rPr>
          <w:rFonts w:hint="eastAsia" w:ascii="宋体" w:hAnsi="宋体" w:eastAsia="宋体"/>
          <w:lang w:val="en-US" w:eastAsia="zh-CN"/>
        </w:rPr>
        <w:t>该团标已在</w:t>
      </w:r>
      <w:r>
        <w:rPr>
          <w:rFonts w:hint="eastAsia" w:ascii="宋体" w:hAnsi="宋体" w:eastAsia="宋体"/>
        </w:rPr>
        <w:t>中广核工程</w:t>
      </w:r>
      <w:r>
        <w:rPr>
          <w:rFonts w:hint="eastAsia"/>
          <w:lang w:val="en-US" w:eastAsia="zh-CN"/>
        </w:rPr>
        <w:t>有限</w:t>
      </w:r>
      <w:r>
        <w:rPr>
          <w:rFonts w:hint="eastAsia" w:ascii="宋体" w:hAnsi="宋体" w:eastAsia="宋体"/>
        </w:rPr>
        <w:t>公司</w:t>
      </w:r>
      <w:r>
        <w:rPr>
          <w:rFonts w:hint="eastAsia" w:ascii="宋体" w:hAnsi="宋体" w:eastAsia="宋体"/>
          <w:lang w:val="en-US" w:eastAsia="zh-CN"/>
        </w:rPr>
        <w:t>内部启动商务流程，</w:t>
      </w:r>
      <w:r>
        <w:rPr>
          <w:rFonts w:hint="eastAsia" w:ascii="宋体" w:hAnsi="宋体" w:eastAsia="宋体"/>
        </w:rPr>
        <w:t>与中国核能行业协会合同</w:t>
      </w:r>
      <w:r>
        <w:rPr>
          <w:rFonts w:hint="eastAsia" w:ascii="宋体" w:hAnsi="宋体" w:eastAsia="宋体"/>
          <w:lang w:val="en-US" w:eastAsia="zh-CN"/>
        </w:rPr>
        <w:t>还未正式签订</w:t>
      </w:r>
      <w:r>
        <w:rPr>
          <w:rFonts w:hint="eastAsia" w:ascii="宋体" w:hAnsi="宋体" w:eastAsia="宋体"/>
        </w:rPr>
        <w:t>。</w:t>
      </w:r>
    </w:p>
    <w:p w14:paraId="72E56E68">
      <w:pPr>
        <w:numPr>
          <w:ilvl w:val="0"/>
          <w:numId w:val="1"/>
        </w:numPr>
        <w:rPr>
          <w:rFonts w:hint="eastAsia"/>
          <w:b/>
        </w:rPr>
      </w:pPr>
      <w:r>
        <w:rPr>
          <w:rFonts w:hint="eastAsia"/>
          <w:b/>
        </w:rPr>
        <w:t>主要工作过程</w:t>
      </w:r>
    </w:p>
    <w:p w14:paraId="69ACF676">
      <w:pPr>
        <w:ind w:firstLine="480" w:firstLineChars="200"/>
        <w:rPr>
          <w:rFonts w:hint="default" w:eastAsia="宋体"/>
          <w:b/>
          <w:lang w:val="en-US" w:eastAsia="zh-CN"/>
        </w:rPr>
      </w:pPr>
      <w:r>
        <w:rPr>
          <w:rFonts w:hint="eastAsia" w:ascii="宋体" w:hAnsi="宋体" w:eastAsia="宋体"/>
        </w:rPr>
        <w:t>在</w:t>
      </w:r>
      <w:r>
        <w:rPr>
          <w:rFonts w:hint="eastAsia" w:ascii="宋体" w:hAnsi="宋体" w:eastAsia="宋体"/>
          <w:lang w:val="en-US" w:eastAsia="zh-CN"/>
        </w:rPr>
        <w:t>核能行业协会</w:t>
      </w:r>
      <w:r>
        <w:rPr>
          <w:rFonts w:hint="eastAsia"/>
          <w:lang w:val="en-US" w:eastAsia="zh-CN"/>
        </w:rPr>
        <w:t>指</w:t>
      </w:r>
      <w:r>
        <w:rPr>
          <w:rFonts w:hint="eastAsia" w:ascii="宋体" w:hAnsi="宋体" w:eastAsia="宋体"/>
        </w:rPr>
        <w:t>导下，主编单位中广核工程有限公司已先后完成立项申请、起草征求意见稿等工作。</w:t>
      </w:r>
      <w:r>
        <w:rPr>
          <w:rFonts w:hint="eastAsia" w:ascii="宋体" w:hAnsi="宋体" w:eastAsia="宋体"/>
          <w:lang w:val="en-US" w:eastAsia="zh-CN"/>
        </w:rPr>
        <w:t>主要工作计划如下：</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1"/>
        <w:gridCol w:w="4013"/>
        <w:gridCol w:w="2475"/>
      </w:tblGrid>
      <w:tr w14:paraId="2B413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192" w:type="pct"/>
            <w:vAlign w:val="center"/>
          </w:tcPr>
          <w:p w14:paraId="52EAB4DD">
            <w:pPr>
              <w:jc w:val="center"/>
              <w:rPr>
                <w:rFonts w:hint="default" w:ascii="宋体" w:hAnsi="宋体" w:eastAsia="宋体"/>
                <w:b w:val="0"/>
                <w:color w:val="000000"/>
                <w:szCs w:val="24"/>
                <w:lang w:val="en-US" w:eastAsia="zh-CN"/>
              </w:rPr>
            </w:pPr>
            <w:r>
              <w:rPr>
                <w:rFonts w:hint="eastAsia"/>
                <w:b w:val="0"/>
                <w:color w:val="000000"/>
                <w:szCs w:val="24"/>
                <w:lang w:val="en-US" w:eastAsia="zh-CN"/>
              </w:rPr>
              <w:t>项目阶段</w:t>
            </w:r>
          </w:p>
        </w:tc>
        <w:tc>
          <w:tcPr>
            <w:tcW w:w="2355" w:type="pct"/>
            <w:vAlign w:val="center"/>
          </w:tcPr>
          <w:p w14:paraId="3A80F20F">
            <w:pPr>
              <w:jc w:val="center"/>
              <w:rPr>
                <w:rFonts w:hint="default" w:ascii="宋体" w:hAnsi="宋体" w:eastAsia="宋体"/>
                <w:b w:val="0"/>
                <w:color w:val="000000"/>
                <w:szCs w:val="24"/>
                <w:lang w:val="en-US" w:eastAsia="zh-CN"/>
              </w:rPr>
            </w:pPr>
            <w:r>
              <w:rPr>
                <w:rFonts w:hint="eastAsia"/>
                <w:b w:val="0"/>
                <w:color w:val="000000"/>
                <w:szCs w:val="24"/>
                <w:lang w:val="en-US" w:eastAsia="zh-CN"/>
              </w:rPr>
              <w:t>主要工作</w:t>
            </w:r>
          </w:p>
        </w:tc>
        <w:tc>
          <w:tcPr>
            <w:tcW w:w="1452" w:type="pct"/>
            <w:vAlign w:val="center"/>
          </w:tcPr>
          <w:p w14:paraId="0596C1FC">
            <w:pPr>
              <w:jc w:val="center"/>
              <w:rPr>
                <w:rFonts w:hint="eastAsia" w:ascii="宋体" w:hAnsi="宋体" w:eastAsia="宋体"/>
                <w:b w:val="0"/>
                <w:color w:val="000000"/>
                <w:szCs w:val="24"/>
                <w:lang w:val="en-US" w:eastAsia="zh-CN"/>
              </w:rPr>
            </w:pPr>
            <w:r>
              <w:rPr>
                <w:rFonts w:hint="eastAsia" w:ascii="宋体" w:hAnsi="宋体" w:eastAsia="宋体"/>
                <w:b w:val="0"/>
                <w:color w:val="000000"/>
                <w:szCs w:val="24"/>
                <w:lang w:val="en-US" w:eastAsia="zh-CN"/>
              </w:rPr>
              <w:t>成果输出</w:t>
            </w:r>
          </w:p>
        </w:tc>
      </w:tr>
      <w:tr w14:paraId="1D34F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atLeast"/>
        </w:trPr>
        <w:tc>
          <w:tcPr>
            <w:tcW w:w="1192" w:type="pct"/>
            <w:vAlign w:val="center"/>
          </w:tcPr>
          <w:p w14:paraId="0482F69B">
            <w:pPr>
              <w:jc w:val="center"/>
            </w:pPr>
            <w:r>
              <w:rPr>
                <w:rFonts w:hint="eastAsia" w:ascii="宋体" w:hAnsi="宋体"/>
                <w:b w:val="0"/>
                <w:color w:val="000000"/>
                <w:szCs w:val="24"/>
              </w:rPr>
              <w:t>2025年06月-2025年07月</w:t>
            </w:r>
          </w:p>
        </w:tc>
        <w:tc>
          <w:tcPr>
            <w:tcW w:w="2355" w:type="pct"/>
            <w:vAlign w:val="center"/>
          </w:tcPr>
          <w:p w14:paraId="0F3EEA70">
            <w:pPr>
              <w:jc w:val="left"/>
            </w:pPr>
            <w:r>
              <w:rPr>
                <w:rFonts w:hint="eastAsia" w:ascii="宋体" w:hAnsi="宋体"/>
                <w:b w:val="0"/>
                <w:color w:val="000000"/>
                <w:szCs w:val="24"/>
              </w:rPr>
              <w:t>题组组织召开启动会（含主参编单位），明确标准架构、分工及时间计划</w:t>
            </w:r>
          </w:p>
        </w:tc>
        <w:tc>
          <w:tcPr>
            <w:tcW w:w="1452" w:type="pct"/>
            <w:vAlign w:val="center"/>
          </w:tcPr>
          <w:p w14:paraId="557DCAEC">
            <w:pPr>
              <w:jc w:val="left"/>
              <w:rPr>
                <w:rFonts w:hint="eastAsia" w:ascii="宋体" w:hAnsi="宋体"/>
                <w:b w:val="0"/>
                <w:color w:val="000000"/>
                <w:szCs w:val="24"/>
              </w:rPr>
            </w:pPr>
            <w:r>
              <w:rPr>
                <w:rFonts w:hint="eastAsia" w:ascii="宋体" w:hAnsi="宋体"/>
                <w:b w:val="0"/>
                <w:color w:val="000000"/>
                <w:szCs w:val="24"/>
              </w:rPr>
              <w:t>标准编制方案</w:t>
            </w:r>
          </w:p>
          <w:p w14:paraId="19E09F53">
            <w:pPr>
              <w:jc w:val="left"/>
            </w:pPr>
          </w:p>
        </w:tc>
      </w:tr>
      <w:tr w14:paraId="75CA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6" w:hRule="atLeast"/>
        </w:trPr>
        <w:tc>
          <w:tcPr>
            <w:tcW w:w="1192" w:type="pct"/>
            <w:vAlign w:val="center"/>
          </w:tcPr>
          <w:p w14:paraId="6FE7C4D4">
            <w:pPr>
              <w:jc w:val="center"/>
            </w:pPr>
            <w:r>
              <w:rPr>
                <w:rFonts w:hint="eastAsia" w:ascii="宋体" w:hAnsi="宋体"/>
                <w:b w:val="0"/>
                <w:color w:val="000000"/>
                <w:szCs w:val="24"/>
              </w:rPr>
              <w:t>2025年07月-2025年09月</w:t>
            </w:r>
          </w:p>
        </w:tc>
        <w:tc>
          <w:tcPr>
            <w:tcW w:w="2355" w:type="pct"/>
            <w:vAlign w:val="center"/>
          </w:tcPr>
          <w:p w14:paraId="36BF42EB">
            <w:pPr>
              <w:numPr>
                <w:ilvl w:val="0"/>
                <w:numId w:val="0"/>
              </w:numPr>
              <w:jc w:val="left"/>
              <w:rPr>
                <w:rFonts w:hint="eastAsia" w:eastAsia="宋体"/>
                <w:b w:val="0"/>
                <w:color w:val="000000"/>
                <w:szCs w:val="24"/>
                <w:lang w:eastAsia="zh-CN"/>
              </w:rPr>
            </w:pPr>
            <w:r>
              <w:rPr>
                <w:rFonts w:hint="eastAsia"/>
                <w:b w:val="0"/>
                <w:color w:val="000000"/>
                <w:szCs w:val="24"/>
                <w:lang w:val="en-US" w:eastAsia="zh-CN"/>
              </w:rPr>
              <w:t>1、</w:t>
            </w:r>
            <w:r>
              <w:rPr>
                <w:rFonts w:hint="eastAsia" w:ascii="宋体" w:hAnsi="宋体"/>
                <w:b w:val="0"/>
                <w:color w:val="000000"/>
                <w:szCs w:val="24"/>
              </w:rPr>
              <w:t>课题组编写标准初稿及编制说明</w:t>
            </w:r>
            <w:r>
              <w:rPr>
                <w:rFonts w:hint="eastAsia"/>
                <w:b w:val="0"/>
                <w:color w:val="000000"/>
                <w:szCs w:val="24"/>
                <w:lang w:eastAsia="zh-CN"/>
              </w:rPr>
              <w:t>；</w:t>
            </w:r>
          </w:p>
          <w:p w14:paraId="7B226FAD">
            <w:pPr>
              <w:numPr>
                <w:ilvl w:val="0"/>
                <w:numId w:val="0"/>
              </w:numPr>
              <w:jc w:val="left"/>
              <w:rPr>
                <w:rFonts w:hint="eastAsia"/>
                <w:b w:val="0"/>
                <w:color w:val="000000"/>
                <w:szCs w:val="24"/>
                <w:lang w:eastAsia="zh-CN"/>
              </w:rPr>
            </w:pPr>
            <w:r>
              <w:rPr>
                <w:rFonts w:hint="eastAsia"/>
                <w:b w:val="0"/>
                <w:color w:val="000000"/>
                <w:szCs w:val="24"/>
                <w:lang w:val="en-US" w:eastAsia="zh-CN"/>
              </w:rPr>
              <w:t>2、</w:t>
            </w:r>
            <w:r>
              <w:rPr>
                <w:rFonts w:hint="eastAsia" w:ascii="宋体" w:hAnsi="宋体"/>
                <w:b w:val="0"/>
                <w:color w:val="000000"/>
                <w:szCs w:val="24"/>
              </w:rPr>
              <w:t>按照GB/T 1.1要求，使用标准编写软件，进行格式规范</w:t>
            </w:r>
            <w:r>
              <w:rPr>
                <w:rFonts w:hint="eastAsia"/>
                <w:b w:val="0"/>
                <w:color w:val="000000"/>
                <w:szCs w:val="24"/>
                <w:lang w:eastAsia="zh-CN"/>
              </w:rPr>
              <w:t>；</w:t>
            </w:r>
          </w:p>
          <w:p w14:paraId="175118C2">
            <w:pPr>
              <w:numPr>
                <w:ilvl w:val="0"/>
                <w:numId w:val="0"/>
              </w:numPr>
              <w:jc w:val="left"/>
            </w:pPr>
            <w:r>
              <w:rPr>
                <w:rFonts w:hint="eastAsia"/>
                <w:b w:val="0"/>
                <w:color w:val="000000"/>
                <w:szCs w:val="24"/>
                <w:lang w:val="en-US" w:eastAsia="zh-CN"/>
              </w:rPr>
              <w:t>3、</w:t>
            </w:r>
            <w:r>
              <w:rPr>
                <w:rFonts w:hint="eastAsia" w:ascii="宋体" w:hAnsi="宋体"/>
                <w:b w:val="0"/>
                <w:color w:val="000000"/>
                <w:szCs w:val="24"/>
              </w:rPr>
              <w:t>课题组召开初稿讨论会（含主参编单位）</w:t>
            </w:r>
          </w:p>
        </w:tc>
        <w:tc>
          <w:tcPr>
            <w:tcW w:w="1452" w:type="pct"/>
            <w:vAlign w:val="center"/>
          </w:tcPr>
          <w:p w14:paraId="2A584467">
            <w:pPr>
              <w:jc w:val="left"/>
            </w:pPr>
            <w:r>
              <w:rPr>
                <w:rFonts w:hint="eastAsia" w:ascii="宋体" w:hAnsi="宋体"/>
                <w:b w:val="0"/>
                <w:color w:val="000000"/>
                <w:szCs w:val="24"/>
              </w:rPr>
              <w:t>标准初稿</w:t>
            </w:r>
            <w:r>
              <w:rPr>
                <w:rFonts w:hint="eastAsia"/>
                <w:b w:val="0"/>
                <w:color w:val="000000"/>
                <w:szCs w:val="24"/>
                <w:lang w:eastAsia="zh-CN"/>
              </w:rPr>
              <w:t>、</w:t>
            </w:r>
            <w:r>
              <w:rPr>
                <w:rFonts w:hint="eastAsia" w:ascii="宋体" w:hAnsi="宋体"/>
                <w:b w:val="0"/>
                <w:color w:val="000000"/>
                <w:szCs w:val="24"/>
              </w:rPr>
              <w:t>初稿编制说明</w:t>
            </w:r>
          </w:p>
          <w:p w14:paraId="3A5A8C76">
            <w:pPr>
              <w:jc w:val="left"/>
            </w:pPr>
          </w:p>
        </w:tc>
      </w:tr>
      <w:tr w14:paraId="762B0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192" w:type="pct"/>
            <w:vAlign w:val="center"/>
          </w:tcPr>
          <w:p w14:paraId="39EDFCCE">
            <w:pPr>
              <w:jc w:val="center"/>
            </w:pPr>
            <w:r>
              <w:rPr>
                <w:rFonts w:hint="eastAsia" w:ascii="宋体" w:hAnsi="宋体"/>
                <w:b w:val="0"/>
                <w:color w:val="000000"/>
                <w:szCs w:val="24"/>
              </w:rPr>
              <w:t>2025年10月-2025年11月</w:t>
            </w:r>
          </w:p>
        </w:tc>
        <w:tc>
          <w:tcPr>
            <w:tcW w:w="2355" w:type="pct"/>
            <w:vAlign w:val="center"/>
          </w:tcPr>
          <w:p w14:paraId="11BA793C">
            <w:pPr>
              <w:numPr>
                <w:ilvl w:val="0"/>
                <w:numId w:val="2"/>
              </w:numPr>
              <w:jc w:val="left"/>
              <w:rPr>
                <w:rFonts w:hint="eastAsia" w:ascii="宋体" w:hAnsi="宋体"/>
                <w:b w:val="0"/>
                <w:color w:val="000000"/>
                <w:szCs w:val="24"/>
              </w:rPr>
            </w:pPr>
            <w:r>
              <w:rPr>
                <w:rFonts w:hint="eastAsia" w:ascii="宋体" w:hAnsi="宋体"/>
                <w:b w:val="0"/>
                <w:color w:val="000000"/>
                <w:szCs w:val="24"/>
              </w:rPr>
              <w:t>课题组根据意见修改，形成征求意见稿及编制说明</w:t>
            </w:r>
            <w:r>
              <w:rPr>
                <w:rFonts w:hint="eastAsia"/>
                <w:b w:val="0"/>
                <w:color w:val="000000"/>
                <w:szCs w:val="24"/>
                <w:lang w:eastAsia="zh-CN"/>
              </w:rPr>
              <w:t>；</w:t>
            </w:r>
            <w:r>
              <w:rPr>
                <w:rFonts w:hint="eastAsia" w:ascii="宋体" w:hAnsi="宋体"/>
                <w:b w:val="0"/>
                <w:color w:val="000000"/>
                <w:szCs w:val="24"/>
              </w:rPr>
              <w:t>
</w:t>
            </w:r>
          </w:p>
          <w:p w14:paraId="2914CF41">
            <w:pPr>
              <w:numPr>
                <w:ilvl w:val="0"/>
                <w:numId w:val="2"/>
              </w:numPr>
              <w:jc w:val="left"/>
              <w:rPr>
                <w:rFonts w:hint="eastAsia" w:eastAsia="宋体"/>
                <w:lang w:eastAsia="zh-CN"/>
              </w:rPr>
            </w:pPr>
            <w:r>
              <w:rPr>
                <w:rFonts w:hint="eastAsia" w:ascii="宋体" w:hAnsi="宋体"/>
                <w:b w:val="0"/>
                <w:color w:val="000000"/>
                <w:szCs w:val="24"/>
              </w:rPr>
              <w:t>课题组推荐征求意见的单位及专家
征求意见稿提交归口单位</w:t>
            </w:r>
            <w:r>
              <w:rPr>
                <w:rFonts w:hint="eastAsia"/>
                <w:b w:val="0"/>
                <w:color w:val="000000"/>
                <w:szCs w:val="24"/>
                <w:lang w:eastAsia="zh-CN"/>
              </w:rPr>
              <w:t>。</w:t>
            </w:r>
          </w:p>
        </w:tc>
        <w:tc>
          <w:tcPr>
            <w:tcW w:w="1452" w:type="pct"/>
            <w:vAlign w:val="center"/>
          </w:tcPr>
          <w:p w14:paraId="6D6EB1BE">
            <w:pPr>
              <w:jc w:val="left"/>
            </w:pPr>
            <w:r>
              <w:rPr>
                <w:rFonts w:hint="eastAsia" w:ascii="宋体" w:hAnsi="宋体"/>
                <w:b w:val="0"/>
                <w:color w:val="000000"/>
                <w:szCs w:val="24"/>
              </w:rPr>
              <w:t>标准征求意见稿</w:t>
            </w:r>
            <w:r>
              <w:rPr>
                <w:rFonts w:hint="eastAsia"/>
                <w:b w:val="0"/>
                <w:color w:val="000000"/>
                <w:szCs w:val="24"/>
                <w:lang w:eastAsia="zh-CN"/>
              </w:rPr>
              <w:t>、</w:t>
            </w:r>
            <w:r>
              <w:rPr>
                <w:rFonts w:hint="eastAsia" w:ascii="宋体" w:hAnsi="宋体"/>
                <w:b w:val="0"/>
                <w:color w:val="000000"/>
                <w:szCs w:val="24"/>
              </w:rPr>
              <w:t>征求意见稿编制说明</w:t>
            </w:r>
            <w:r>
              <w:rPr>
                <w:rFonts w:hint="eastAsia" w:ascii="宋体" w:hAnsi="宋体"/>
                <w:b w:val="0"/>
                <w:color w:val="000000"/>
                <w:szCs w:val="24"/>
                <w:lang w:eastAsia="zh-CN"/>
              </w:rPr>
              <w:t>、</w:t>
            </w:r>
            <w:r>
              <w:rPr>
                <w:rFonts w:hint="eastAsia" w:ascii="宋体" w:hAnsi="宋体"/>
                <w:b w:val="0"/>
                <w:color w:val="000000"/>
                <w:szCs w:val="24"/>
              </w:rPr>
              <w:t>标准征求意见稿申报表</w:t>
            </w:r>
          </w:p>
        </w:tc>
      </w:tr>
      <w:tr w14:paraId="5F556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8" w:hRule="atLeast"/>
        </w:trPr>
        <w:tc>
          <w:tcPr>
            <w:tcW w:w="1192" w:type="pct"/>
            <w:vAlign w:val="center"/>
          </w:tcPr>
          <w:p w14:paraId="08AD6559">
            <w:pPr>
              <w:jc w:val="center"/>
            </w:pPr>
            <w:r>
              <w:rPr>
                <w:rFonts w:hint="eastAsia" w:ascii="宋体" w:hAnsi="宋体"/>
                <w:b w:val="0"/>
                <w:color w:val="000000"/>
                <w:szCs w:val="24"/>
              </w:rPr>
              <w:t>2025年12月-2026年03月</w:t>
            </w:r>
          </w:p>
        </w:tc>
        <w:tc>
          <w:tcPr>
            <w:tcW w:w="2355" w:type="pct"/>
            <w:vAlign w:val="center"/>
          </w:tcPr>
          <w:p w14:paraId="7966F7ED">
            <w:pPr>
              <w:numPr>
                <w:ilvl w:val="0"/>
                <w:numId w:val="3"/>
              </w:numPr>
              <w:jc w:val="left"/>
              <w:rPr>
                <w:rFonts w:hint="eastAsia"/>
                <w:b w:val="0"/>
                <w:color w:val="000000"/>
                <w:szCs w:val="24"/>
                <w:lang w:eastAsia="zh-CN"/>
              </w:rPr>
            </w:pPr>
            <w:r>
              <w:rPr>
                <w:rFonts w:hint="eastAsia" w:ascii="宋体" w:hAnsi="宋体"/>
                <w:b w:val="0"/>
                <w:color w:val="000000"/>
                <w:szCs w:val="24"/>
              </w:rPr>
              <w:t>归口单位组织征求意见</w:t>
            </w:r>
            <w:r>
              <w:rPr>
                <w:rFonts w:hint="eastAsia"/>
                <w:b w:val="0"/>
                <w:color w:val="000000"/>
                <w:szCs w:val="24"/>
                <w:lang w:eastAsia="zh-CN"/>
              </w:rPr>
              <w:t>；</w:t>
            </w:r>
          </w:p>
          <w:p w14:paraId="02B85D56">
            <w:pPr>
              <w:numPr>
                <w:ilvl w:val="0"/>
                <w:numId w:val="3"/>
              </w:numPr>
              <w:jc w:val="left"/>
            </w:pPr>
            <w:r>
              <w:rPr>
                <w:rFonts w:hint="eastAsia" w:ascii="宋体" w:hAnsi="宋体"/>
                <w:b w:val="0"/>
                <w:color w:val="000000"/>
                <w:szCs w:val="24"/>
              </w:rPr>
              <w:t>课题组处理意见，形成送审稿、编制说明及征求意见稿意见汇总处理表</w:t>
            </w:r>
            <w:r>
              <w:rPr>
                <w:rFonts w:hint="eastAsia"/>
                <w:b w:val="0"/>
                <w:color w:val="000000"/>
                <w:szCs w:val="24"/>
                <w:lang w:eastAsia="zh-CN"/>
              </w:rPr>
              <w:t>；</w:t>
            </w:r>
          </w:p>
          <w:p w14:paraId="78A8EF7D">
            <w:pPr>
              <w:numPr>
                <w:ilvl w:val="0"/>
                <w:numId w:val="3"/>
              </w:numPr>
              <w:jc w:val="left"/>
            </w:pPr>
            <w:r>
              <w:rPr>
                <w:rFonts w:hint="eastAsia" w:ascii="宋体" w:hAnsi="宋体"/>
                <w:b w:val="0"/>
                <w:color w:val="000000"/>
                <w:szCs w:val="24"/>
              </w:rPr>
              <w:t>各板块组织送审稿内审会
送审稿提交归口单位</w:t>
            </w:r>
            <w:r>
              <w:rPr>
                <w:rFonts w:hint="eastAsia"/>
                <w:b w:val="0"/>
                <w:color w:val="000000"/>
                <w:szCs w:val="24"/>
                <w:lang w:eastAsia="zh-CN"/>
              </w:rPr>
              <w:t>。</w:t>
            </w:r>
          </w:p>
        </w:tc>
        <w:tc>
          <w:tcPr>
            <w:tcW w:w="1452" w:type="pct"/>
            <w:vAlign w:val="center"/>
          </w:tcPr>
          <w:p w14:paraId="38AB2414">
            <w:pPr>
              <w:jc w:val="left"/>
            </w:pPr>
            <w:r>
              <w:rPr>
                <w:rFonts w:hint="eastAsia" w:ascii="宋体" w:hAnsi="宋体"/>
                <w:b w:val="0"/>
                <w:color w:val="000000"/>
                <w:szCs w:val="24"/>
              </w:rPr>
              <w:t>标准送审稿</w:t>
            </w:r>
            <w:r>
              <w:rPr>
                <w:rFonts w:hint="eastAsia"/>
                <w:b w:val="0"/>
                <w:color w:val="000000"/>
                <w:szCs w:val="24"/>
                <w:lang w:eastAsia="zh-CN"/>
              </w:rPr>
              <w:t>、</w:t>
            </w:r>
            <w:r>
              <w:rPr>
                <w:rFonts w:hint="eastAsia" w:ascii="宋体" w:hAnsi="宋体"/>
                <w:b w:val="0"/>
                <w:color w:val="000000"/>
                <w:szCs w:val="24"/>
              </w:rPr>
              <w:t>送审稿编制说明</w:t>
            </w:r>
            <w:r>
              <w:rPr>
                <w:rFonts w:hint="eastAsia" w:ascii="宋体" w:hAnsi="宋体"/>
                <w:b w:val="0"/>
                <w:color w:val="000000"/>
                <w:szCs w:val="24"/>
                <w:lang w:eastAsia="zh-CN"/>
              </w:rPr>
              <w:t>、</w:t>
            </w:r>
            <w:r>
              <w:rPr>
                <w:rFonts w:hint="eastAsia" w:ascii="宋体" w:hAnsi="宋体"/>
                <w:b w:val="0"/>
                <w:color w:val="000000"/>
                <w:szCs w:val="24"/>
              </w:rPr>
              <w:t>征求意见稿意见汇总处理表</w:t>
            </w:r>
          </w:p>
        </w:tc>
      </w:tr>
      <w:tr w14:paraId="75F5F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6" w:hRule="atLeast"/>
        </w:trPr>
        <w:tc>
          <w:tcPr>
            <w:tcW w:w="1192" w:type="pct"/>
            <w:vAlign w:val="center"/>
          </w:tcPr>
          <w:p w14:paraId="6F8DB5CF">
            <w:pPr>
              <w:jc w:val="center"/>
            </w:pPr>
            <w:r>
              <w:rPr>
                <w:rFonts w:hint="eastAsia" w:ascii="宋体" w:hAnsi="宋体"/>
                <w:b w:val="0"/>
                <w:color w:val="000000"/>
                <w:szCs w:val="24"/>
              </w:rPr>
              <w:t>2026年04月-2026年10月</w:t>
            </w:r>
          </w:p>
        </w:tc>
        <w:tc>
          <w:tcPr>
            <w:tcW w:w="2355" w:type="pct"/>
            <w:vAlign w:val="center"/>
          </w:tcPr>
          <w:p w14:paraId="20FE7CB4">
            <w:pPr>
              <w:jc w:val="left"/>
            </w:pPr>
            <w:r>
              <w:rPr>
                <w:rFonts w:hint="eastAsia" w:ascii="宋体" w:hAnsi="宋体"/>
                <w:b w:val="0"/>
                <w:color w:val="000000"/>
                <w:szCs w:val="24"/>
              </w:rPr>
              <w:t>归口单位组织送审稿审查会课题组参会答辩，处理专家评审意见，完成标准报批稿、编制说明及送审稿意见汇总表
报批稿提交归口单位</w:t>
            </w:r>
          </w:p>
        </w:tc>
        <w:tc>
          <w:tcPr>
            <w:tcW w:w="1452" w:type="pct"/>
            <w:vAlign w:val="center"/>
          </w:tcPr>
          <w:p w14:paraId="757B0C4C">
            <w:pPr>
              <w:jc w:val="left"/>
            </w:pPr>
            <w:r>
              <w:rPr>
                <w:rFonts w:hint="eastAsia" w:ascii="宋体" w:hAnsi="宋体"/>
                <w:b w:val="0"/>
                <w:color w:val="000000"/>
                <w:szCs w:val="24"/>
              </w:rPr>
              <w:t>标准报批稿</w:t>
            </w:r>
            <w:r>
              <w:rPr>
                <w:rFonts w:hint="eastAsia"/>
                <w:b w:val="0"/>
                <w:color w:val="000000"/>
                <w:szCs w:val="24"/>
                <w:lang w:eastAsia="zh-CN"/>
              </w:rPr>
              <w:t>、</w:t>
            </w:r>
            <w:r>
              <w:rPr>
                <w:rFonts w:hint="eastAsia" w:ascii="宋体" w:hAnsi="宋体"/>
                <w:b w:val="0"/>
                <w:color w:val="000000"/>
                <w:szCs w:val="24"/>
              </w:rPr>
              <w:t>报批稿编制说明</w:t>
            </w:r>
            <w:r>
              <w:rPr>
                <w:rFonts w:hint="eastAsia" w:ascii="宋体" w:hAnsi="宋体"/>
                <w:b w:val="0"/>
                <w:color w:val="000000"/>
                <w:szCs w:val="24"/>
                <w:lang w:eastAsia="zh-CN"/>
              </w:rPr>
              <w:t>、</w:t>
            </w:r>
            <w:r>
              <w:rPr>
                <w:rFonts w:hint="eastAsia" w:ascii="宋体" w:hAnsi="宋体"/>
                <w:b w:val="0"/>
                <w:color w:val="000000"/>
                <w:szCs w:val="24"/>
              </w:rPr>
              <w:t>送审稿意见汇总表</w:t>
            </w:r>
            <w:r>
              <w:rPr>
                <w:rFonts w:hint="eastAsia" w:ascii="宋体" w:hAnsi="宋体"/>
                <w:b w:val="0"/>
                <w:color w:val="000000"/>
                <w:szCs w:val="24"/>
                <w:lang w:eastAsia="zh-CN"/>
              </w:rPr>
              <w:t>、</w:t>
            </w:r>
            <w:r>
              <w:rPr>
                <w:rFonts w:hint="eastAsia" w:ascii="宋体" w:hAnsi="宋体"/>
                <w:b w:val="0"/>
                <w:color w:val="000000"/>
                <w:szCs w:val="24"/>
              </w:rPr>
              <w:t>送审稿专家评审会会议纪要及签到表</w:t>
            </w:r>
          </w:p>
        </w:tc>
      </w:tr>
    </w:tbl>
    <w:p w14:paraId="3340426D">
      <w:pPr>
        <w:rPr>
          <w:b/>
        </w:rPr>
      </w:pPr>
      <w:r>
        <w:rPr>
          <w:rFonts w:hint="eastAsia"/>
          <w:b/>
        </w:rPr>
        <w:t>3、</w:t>
      </w:r>
      <w:r>
        <w:rPr>
          <w:b/>
        </w:rPr>
        <w:t>主要参加单位和工作组成员及其所作的工作等</w:t>
      </w:r>
    </w:p>
    <w:tbl>
      <w:tblPr>
        <w:tblStyle w:val="2"/>
        <w:tblW w:w="852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
        <w:gridCol w:w="2753"/>
        <w:gridCol w:w="5272"/>
      </w:tblGrid>
      <w:tr w14:paraId="57561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257" w:type="dxa"/>
            <w:gridSpan w:val="2"/>
            <w:vAlign w:val="center"/>
          </w:tcPr>
          <w:p w14:paraId="64B419FA">
            <w:pPr>
              <w:jc w:val="center"/>
            </w:pPr>
            <w:r>
              <w:rPr>
                <w:rFonts w:hint="eastAsia" w:ascii="宋体" w:hAnsi="宋体"/>
                <w:b/>
                <w:color w:val="000000"/>
                <w:szCs w:val="24"/>
              </w:rPr>
              <w:t>单位名称</w:t>
            </w:r>
          </w:p>
        </w:tc>
        <w:tc>
          <w:tcPr>
            <w:tcW w:w="5272" w:type="dxa"/>
            <w:vAlign w:val="center"/>
          </w:tcPr>
          <w:p w14:paraId="43850A74">
            <w:pPr>
              <w:jc w:val="center"/>
            </w:pPr>
            <w:r>
              <w:rPr>
                <w:rFonts w:hint="eastAsia" w:ascii="宋体" w:hAnsi="宋体"/>
                <w:b/>
                <w:color w:val="000000"/>
                <w:szCs w:val="24"/>
              </w:rPr>
              <w:t>承担的研究内容</w:t>
            </w:r>
          </w:p>
        </w:tc>
      </w:tr>
      <w:tr w14:paraId="67B9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dxa"/>
            <w:vAlign w:val="center"/>
          </w:tcPr>
          <w:p w14:paraId="2A6BB7CD">
            <w:pPr>
              <w:jc w:val="center"/>
            </w:pPr>
            <w:r>
              <w:rPr>
                <w:rFonts w:hint="eastAsia" w:ascii="宋体" w:hAnsi="宋体"/>
                <w:b w:val="0"/>
                <w:color w:val="000000"/>
                <w:szCs w:val="24"/>
              </w:rPr>
              <w:t>1</w:t>
            </w:r>
          </w:p>
        </w:tc>
        <w:tc>
          <w:tcPr>
            <w:tcW w:w="2753" w:type="dxa"/>
            <w:vAlign w:val="center"/>
          </w:tcPr>
          <w:p w14:paraId="77846699">
            <w:pPr>
              <w:jc w:val="center"/>
            </w:pPr>
            <w:r>
              <w:rPr>
                <w:rFonts w:hint="eastAsia" w:ascii="宋体" w:hAnsi="宋体"/>
                <w:b w:val="0"/>
                <w:color w:val="000000"/>
                <w:szCs w:val="24"/>
              </w:rPr>
              <w:t>中广核陆丰核电有限公司</w:t>
            </w:r>
          </w:p>
        </w:tc>
        <w:tc>
          <w:tcPr>
            <w:tcW w:w="5272" w:type="dxa"/>
            <w:vAlign w:val="center"/>
          </w:tcPr>
          <w:p w14:paraId="0ABCCE87">
            <w:pPr>
              <w:jc w:val="left"/>
            </w:pPr>
            <w:r>
              <w:rPr>
                <w:rFonts w:hint="eastAsia" w:ascii="宋体" w:hAnsi="宋体"/>
                <w:b w:val="0"/>
                <w:color w:val="000000"/>
                <w:szCs w:val="24"/>
              </w:rPr>
              <w:t>负责</w:t>
            </w:r>
            <w:r>
              <w:rPr>
                <w:rFonts w:hint="eastAsia"/>
                <w:b w:val="0"/>
                <w:color w:val="000000"/>
                <w:szCs w:val="24"/>
                <w:lang w:val="en-US" w:eastAsia="zh-CN"/>
              </w:rPr>
              <w:t>提供本单位风险管理案例及RBS结构示例，部分附录团标示例</w:t>
            </w:r>
            <w:r>
              <w:rPr>
                <w:rFonts w:hint="eastAsia" w:ascii="宋体" w:hAnsi="宋体"/>
                <w:b w:val="0"/>
                <w:color w:val="000000"/>
                <w:szCs w:val="24"/>
              </w:rPr>
              <w:t>编制，参与标准审查与修订</w:t>
            </w:r>
          </w:p>
        </w:tc>
      </w:tr>
      <w:tr w14:paraId="56CCF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dxa"/>
            <w:vAlign w:val="center"/>
          </w:tcPr>
          <w:p w14:paraId="7A4BE407">
            <w:pPr>
              <w:jc w:val="center"/>
            </w:pPr>
            <w:r>
              <w:rPr>
                <w:rFonts w:hint="eastAsia" w:ascii="宋体" w:hAnsi="宋体"/>
                <w:b w:val="0"/>
                <w:color w:val="000000"/>
                <w:szCs w:val="24"/>
              </w:rPr>
              <w:t>2</w:t>
            </w:r>
          </w:p>
        </w:tc>
        <w:tc>
          <w:tcPr>
            <w:tcW w:w="2753" w:type="dxa"/>
            <w:vAlign w:val="center"/>
          </w:tcPr>
          <w:p w14:paraId="6DF26182">
            <w:pPr>
              <w:jc w:val="center"/>
            </w:pPr>
            <w:r>
              <w:rPr>
                <w:rFonts w:hint="eastAsia" w:ascii="宋体" w:hAnsi="宋体"/>
                <w:b w:val="0"/>
                <w:color w:val="000000"/>
                <w:szCs w:val="24"/>
              </w:rPr>
              <w:t>福建宁德核电有限公司</w:t>
            </w:r>
          </w:p>
        </w:tc>
        <w:tc>
          <w:tcPr>
            <w:tcW w:w="5272" w:type="dxa"/>
            <w:vAlign w:val="center"/>
          </w:tcPr>
          <w:p w14:paraId="3B80BA49">
            <w:pPr>
              <w:jc w:val="left"/>
            </w:pPr>
            <w:r>
              <w:rPr>
                <w:rFonts w:hint="eastAsia" w:ascii="宋体" w:hAnsi="宋体"/>
                <w:b w:val="0"/>
                <w:color w:val="000000"/>
                <w:szCs w:val="24"/>
              </w:rPr>
              <w:t>负责</w:t>
            </w:r>
            <w:r>
              <w:rPr>
                <w:rFonts w:hint="eastAsia"/>
                <w:b w:val="0"/>
                <w:color w:val="000000"/>
                <w:szCs w:val="24"/>
                <w:lang w:val="en-US" w:eastAsia="zh-CN"/>
              </w:rPr>
              <w:t>提供本单位风险管理案例及RBS结构示例，部分附录团标示例</w:t>
            </w:r>
            <w:r>
              <w:rPr>
                <w:rFonts w:hint="eastAsia" w:ascii="宋体" w:hAnsi="宋体"/>
                <w:b w:val="0"/>
                <w:color w:val="000000"/>
                <w:szCs w:val="24"/>
              </w:rPr>
              <w:t>编制，参与标准审查与修订</w:t>
            </w:r>
          </w:p>
        </w:tc>
      </w:tr>
      <w:tr w14:paraId="164C5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dxa"/>
            <w:vAlign w:val="center"/>
          </w:tcPr>
          <w:p w14:paraId="65581A5B">
            <w:pPr>
              <w:jc w:val="center"/>
              <w:rPr>
                <w:rFonts w:hint="eastAsia" w:eastAsia="宋体"/>
                <w:lang w:eastAsia="zh-CN"/>
              </w:rPr>
            </w:pPr>
            <w:r>
              <w:rPr>
                <w:rFonts w:hint="eastAsia"/>
                <w:b w:val="0"/>
                <w:color w:val="000000"/>
                <w:szCs w:val="24"/>
                <w:lang w:val="en-US" w:eastAsia="zh-CN"/>
              </w:rPr>
              <w:t>3</w:t>
            </w:r>
          </w:p>
        </w:tc>
        <w:tc>
          <w:tcPr>
            <w:tcW w:w="2753" w:type="dxa"/>
            <w:vAlign w:val="center"/>
          </w:tcPr>
          <w:p w14:paraId="05EC8997">
            <w:pPr>
              <w:jc w:val="center"/>
            </w:pPr>
            <w:r>
              <w:rPr>
                <w:rFonts w:hint="eastAsia" w:ascii="宋体" w:hAnsi="宋体"/>
                <w:b w:val="0"/>
                <w:color w:val="000000"/>
                <w:szCs w:val="24"/>
              </w:rPr>
              <w:t>上海核工程研究设计院有限公司</w:t>
            </w:r>
          </w:p>
        </w:tc>
        <w:tc>
          <w:tcPr>
            <w:tcW w:w="5272" w:type="dxa"/>
            <w:vAlign w:val="center"/>
          </w:tcPr>
          <w:p w14:paraId="24CA0D60">
            <w:pPr>
              <w:jc w:val="left"/>
            </w:pPr>
            <w:r>
              <w:rPr>
                <w:rFonts w:hint="eastAsia" w:ascii="宋体" w:hAnsi="宋体"/>
                <w:b w:val="0"/>
                <w:color w:val="000000"/>
                <w:szCs w:val="24"/>
              </w:rPr>
              <w:t>负责</w:t>
            </w:r>
            <w:r>
              <w:rPr>
                <w:rFonts w:hint="eastAsia"/>
                <w:b w:val="0"/>
                <w:color w:val="000000"/>
                <w:szCs w:val="24"/>
                <w:lang w:val="en-US" w:eastAsia="zh-CN"/>
              </w:rPr>
              <w:t>提供本单位风险管理案例及RBS结构示例，部分附录团标示例</w:t>
            </w:r>
            <w:r>
              <w:rPr>
                <w:rFonts w:hint="eastAsia" w:ascii="宋体" w:hAnsi="宋体"/>
                <w:b w:val="0"/>
                <w:color w:val="000000"/>
                <w:szCs w:val="24"/>
              </w:rPr>
              <w:t>编制，参与标准审查与修订</w:t>
            </w:r>
          </w:p>
        </w:tc>
      </w:tr>
      <w:tr w14:paraId="0D6D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dxa"/>
            <w:vAlign w:val="center"/>
          </w:tcPr>
          <w:p w14:paraId="3662B0AA">
            <w:pPr>
              <w:jc w:val="center"/>
              <w:rPr>
                <w:rFonts w:hint="eastAsia" w:eastAsia="宋体"/>
                <w:lang w:eastAsia="zh-CN"/>
              </w:rPr>
            </w:pPr>
            <w:r>
              <w:rPr>
                <w:rFonts w:hint="eastAsia"/>
                <w:b w:val="0"/>
                <w:color w:val="000000"/>
                <w:szCs w:val="24"/>
                <w:lang w:val="en-US" w:eastAsia="zh-CN"/>
              </w:rPr>
              <w:t>4</w:t>
            </w:r>
          </w:p>
        </w:tc>
        <w:tc>
          <w:tcPr>
            <w:tcW w:w="2753" w:type="dxa"/>
            <w:vAlign w:val="center"/>
          </w:tcPr>
          <w:p w14:paraId="079E240C">
            <w:pPr>
              <w:jc w:val="center"/>
            </w:pPr>
            <w:r>
              <w:rPr>
                <w:rFonts w:hint="eastAsia" w:ascii="宋体" w:hAnsi="宋体"/>
                <w:b w:val="0"/>
                <w:color w:val="000000"/>
                <w:szCs w:val="24"/>
              </w:rPr>
              <w:t>中广核工程有限公司</w:t>
            </w:r>
          </w:p>
        </w:tc>
        <w:tc>
          <w:tcPr>
            <w:tcW w:w="5272" w:type="dxa"/>
            <w:vAlign w:val="center"/>
          </w:tcPr>
          <w:p w14:paraId="7DAD2B1E">
            <w:pPr>
              <w:jc w:val="left"/>
            </w:pPr>
            <w:r>
              <w:rPr>
                <w:rFonts w:hint="eastAsia" w:ascii="宋体" w:hAnsi="宋体"/>
                <w:b w:val="0"/>
                <w:color w:val="000000"/>
                <w:szCs w:val="24"/>
              </w:rPr>
              <w:t>牵头主编</w:t>
            </w:r>
            <w:r>
              <w:rPr>
                <w:rFonts w:hint="eastAsia"/>
                <w:b w:val="0"/>
                <w:color w:val="000000"/>
                <w:szCs w:val="24"/>
                <w:lang w:eastAsia="zh-CN"/>
              </w:rPr>
              <w:t>，</w:t>
            </w:r>
            <w:r>
              <w:rPr>
                <w:rFonts w:hint="eastAsia"/>
                <w:b w:val="0"/>
                <w:color w:val="000000"/>
                <w:szCs w:val="24"/>
                <w:lang w:val="en-US" w:eastAsia="zh-CN"/>
              </w:rPr>
              <w:t>负责统筹团标整体结构设计、通稿、组织评审及报批工作</w:t>
            </w:r>
            <w:r>
              <w:rPr>
                <w:rFonts w:hint="eastAsia" w:ascii="宋体" w:hAnsi="宋体"/>
                <w:b w:val="0"/>
                <w:color w:val="000000"/>
                <w:szCs w:val="24"/>
              </w:rPr>
              <w:t>。</w:t>
            </w:r>
          </w:p>
        </w:tc>
      </w:tr>
    </w:tbl>
    <w:p w14:paraId="2BFF30F1"/>
    <w:p w14:paraId="4D0BDBA5">
      <w:pPr>
        <w:outlineLvl w:val="0"/>
        <w:rPr>
          <w:b/>
          <w:sz w:val="28"/>
          <w:szCs w:val="28"/>
        </w:rPr>
      </w:pPr>
      <w:r>
        <w:rPr>
          <w:rFonts w:hint="eastAsia"/>
          <w:b/>
          <w:sz w:val="28"/>
          <w:szCs w:val="28"/>
        </w:rPr>
        <w:t>二、标准编制原则和主要内容</w:t>
      </w:r>
    </w:p>
    <w:p w14:paraId="5E72F602">
      <w:pPr>
        <w:rPr>
          <w:rFonts w:hint="eastAsia"/>
          <w:b/>
        </w:rPr>
      </w:pPr>
      <w:r>
        <w:rPr>
          <w:rFonts w:hint="eastAsia"/>
          <w:b/>
        </w:rPr>
        <w:t>1、标准编制原则</w:t>
      </w:r>
    </w:p>
    <w:p w14:paraId="6D3C02F9">
      <w:pPr>
        <w:rPr>
          <w:rFonts w:hint="eastAsia"/>
          <w:b/>
        </w:rPr>
      </w:pPr>
    </w:p>
    <w:p w14:paraId="2115BD25">
      <w:pPr>
        <w:numPr>
          <w:ilvl w:val="0"/>
          <w:numId w:val="4"/>
        </w:numPr>
        <w:ind w:left="425" w:leftChars="0" w:hanging="425" w:firstLineChars="0"/>
        <w:rPr>
          <w:rFonts w:hint="eastAsia" w:ascii="宋体" w:hAnsi="宋体" w:eastAsia="宋体"/>
        </w:rPr>
      </w:pPr>
      <w:r>
        <w:rPr>
          <w:rFonts w:hint="eastAsia" w:ascii="宋体" w:hAnsi="宋体" w:eastAsia="宋体"/>
        </w:rPr>
        <w:t>系统性原则：RBS 应全面覆盖核电工程建设的全生命周期（选址、设计、采购、施工、调试、运行准备）和全业务领域（技术、管理、安全、环境等），形成层次清晰、结构完整的风险分类体系。</w:t>
      </w:r>
    </w:p>
    <w:p w14:paraId="1EEB5944">
      <w:pPr>
        <w:numPr>
          <w:ilvl w:val="0"/>
          <w:numId w:val="4"/>
        </w:numPr>
        <w:ind w:left="425" w:leftChars="0" w:hanging="425" w:firstLineChars="0"/>
        <w:rPr>
          <w:rFonts w:hint="eastAsia" w:ascii="宋体" w:hAnsi="宋体" w:eastAsia="宋体"/>
        </w:rPr>
      </w:pPr>
      <w:r>
        <w:rPr>
          <w:rFonts w:hint="eastAsia" w:ascii="宋体" w:hAnsi="宋体" w:eastAsia="宋体"/>
        </w:rPr>
        <w:t>实用性原则：注重RBS的可操作性与适用性，确保其能够与WBS、进度计划、成本控制等项目管理工具有效集成，支持实际风险管控活动的开展。</w:t>
      </w:r>
    </w:p>
    <w:p w14:paraId="5C3A843A">
      <w:pPr>
        <w:numPr>
          <w:ilvl w:val="0"/>
          <w:numId w:val="4"/>
        </w:numPr>
        <w:ind w:left="425" w:leftChars="0" w:hanging="425" w:firstLineChars="0"/>
        <w:rPr>
          <w:rFonts w:hint="eastAsia" w:ascii="宋体" w:hAnsi="宋体" w:eastAsia="宋体"/>
        </w:rPr>
      </w:pPr>
      <w:r>
        <w:rPr>
          <w:rFonts w:hint="eastAsia" w:ascii="宋体" w:hAnsi="宋体" w:eastAsia="宋体"/>
        </w:rPr>
        <w:t>动态性原则：建立RBS的持续评审与更新机制，确保其能够响应项目内外部环境变化（如政策调整、技术更新、供应链变动等）。</w:t>
      </w:r>
    </w:p>
    <w:p w14:paraId="1B2099C6">
      <w:pPr>
        <w:numPr>
          <w:ilvl w:val="0"/>
          <w:numId w:val="4"/>
        </w:numPr>
        <w:ind w:left="425" w:leftChars="0" w:hanging="425" w:firstLineChars="0"/>
        <w:rPr>
          <w:rFonts w:hint="eastAsia" w:ascii="宋体" w:hAnsi="宋体" w:eastAsia="宋体"/>
        </w:rPr>
      </w:pPr>
      <w:r>
        <w:rPr>
          <w:rFonts w:hint="eastAsia" w:ascii="宋体" w:hAnsi="宋体" w:eastAsia="宋体"/>
        </w:rPr>
        <w:t>一致性原则：统一风险术语和分类逻辑，促进项目各参与方之间的风险沟通与共识，避免因理解差异导致的管理盲区。</w:t>
      </w:r>
    </w:p>
    <w:p w14:paraId="44729DEB">
      <w:pPr>
        <w:numPr>
          <w:ilvl w:val="0"/>
          <w:numId w:val="4"/>
        </w:numPr>
        <w:ind w:left="425" w:leftChars="0" w:hanging="425" w:firstLineChars="0"/>
        <w:rPr>
          <w:rFonts w:hint="eastAsia" w:ascii="宋体" w:hAnsi="宋体" w:eastAsia="宋体"/>
        </w:rPr>
      </w:pPr>
      <w:r>
        <w:rPr>
          <w:rFonts w:hint="eastAsia" w:ascii="宋体" w:hAnsi="宋体" w:eastAsia="宋体"/>
        </w:rPr>
        <w:t>前瞻性原则：结合国际先进经验（如IAEA、PMI等标准），引入分层分类、编码管理、RACI责任矩阵等现代风险管理方法，提升标准的先进性和引领性。</w:t>
      </w:r>
    </w:p>
    <w:p w14:paraId="78D3D3F6">
      <w:pPr>
        <w:rPr>
          <w:b/>
        </w:rPr>
      </w:pPr>
      <w:r>
        <w:rPr>
          <w:rFonts w:hint="eastAsia"/>
          <w:b/>
        </w:rPr>
        <w:t>2、标准主要内容的依据</w:t>
      </w:r>
    </w:p>
    <w:p w14:paraId="35269471">
      <w:pPr>
        <w:ind w:firstLine="480" w:firstLineChars="200"/>
        <w:rPr>
          <w:rFonts w:hint="eastAsia" w:ascii="宋体" w:hAnsi="宋体" w:eastAsia="宋体"/>
          <w:lang w:val="en-US" w:eastAsia="zh-CN"/>
        </w:rPr>
      </w:pPr>
      <w:r>
        <w:rPr>
          <w:rFonts w:hint="eastAsia" w:ascii="宋体" w:hAnsi="宋体" w:eastAsia="宋体"/>
        </w:rPr>
        <w:t>本标准的结构与内容严格遵循 GB/T 1.1-2020《标准化工作导则</w:t>
      </w:r>
      <w:r>
        <w:rPr>
          <w:rFonts w:hint="eastAsia" w:ascii="宋体" w:hAnsi="宋体" w:eastAsia="宋体"/>
          <w:lang w:val="en-US" w:eastAsia="zh-CN"/>
        </w:rPr>
        <w:t xml:space="preserve"> </w:t>
      </w:r>
      <w:r>
        <w:rPr>
          <w:rFonts w:hint="eastAsia" w:ascii="宋体" w:hAnsi="宋体" w:eastAsia="宋体"/>
        </w:rPr>
        <w:t>第1部分：标准化文件的结构和起草规则》，确保格式规范、逻辑清晰。各章节技术内容</w:t>
      </w:r>
      <w:r>
        <w:rPr>
          <w:rFonts w:hint="eastAsia"/>
          <w:lang w:val="en-US" w:eastAsia="zh-CN"/>
        </w:rPr>
        <w:t>及</w:t>
      </w:r>
      <w:r>
        <w:rPr>
          <w:rFonts w:hint="eastAsia" w:ascii="宋体" w:hAnsi="宋体" w:eastAsia="宋体"/>
        </w:rPr>
        <w:t>依据如下：</w:t>
      </w:r>
      <w:r>
        <w:rPr>
          <w:rFonts w:hint="eastAsia" w:ascii="宋体" w:hAnsi="宋体" w:eastAsia="宋体"/>
        </w:rPr>
        <w:br w:type="textWrapping"/>
      </w:r>
      <w:r>
        <w:rPr>
          <w:rFonts w:hint="eastAsia" w:ascii="宋体" w:hAnsi="宋体" w:eastAsia="宋体"/>
          <w:lang w:val="en-US" w:eastAsia="zh-CN"/>
        </w:rPr>
        <w:t xml:space="preserve">    第1至2章按照规范的标准模板，分别对应标准的范围内容，规范性引用文件。</w:t>
      </w:r>
    </w:p>
    <w:p w14:paraId="1DAB5718">
      <w:pPr>
        <w:numPr>
          <w:ilvl w:val="0"/>
          <w:numId w:val="5"/>
        </w:numPr>
        <w:ind w:firstLine="480" w:firstLineChars="200"/>
        <w:rPr>
          <w:rFonts w:hint="eastAsia" w:ascii="宋体" w:hAnsi="宋体" w:eastAsia="宋体"/>
        </w:rPr>
      </w:pPr>
      <w:r>
        <w:rPr>
          <w:rFonts w:hint="eastAsia" w:ascii="宋体" w:hAnsi="宋体" w:eastAsia="宋体"/>
        </w:rPr>
        <w:t>术语和定义：依据GB/T 24353-2022《风险管理 术语》等国家标准，确保术语的权威性与一致性。</w:t>
      </w:r>
      <w:r>
        <w:rPr>
          <w:rFonts w:hint="eastAsia" w:ascii="宋体" w:hAnsi="宋体" w:eastAsia="宋体"/>
        </w:rPr>
        <w:br w:type="textWrapping"/>
      </w:r>
      <w:r>
        <w:rPr>
          <w:rFonts w:hint="eastAsia" w:ascii="宋体" w:hAnsi="宋体" w:eastAsia="宋体"/>
          <w:lang w:val="en-US" w:eastAsia="zh-CN"/>
        </w:rPr>
        <w:t xml:space="preserve">    </w:t>
      </w:r>
      <w:r>
        <w:rPr>
          <w:rFonts w:hint="eastAsia" w:ascii="宋体" w:hAnsi="宋体" w:eastAsia="宋体"/>
        </w:rPr>
        <w:t>第4章 组织职责：参考PMI PMBOK第七版中关于组织治理与角色分工的内容，明确决策、管理、执行三层架构的责任划分。</w:t>
      </w:r>
      <w:r>
        <w:rPr>
          <w:rFonts w:hint="eastAsia" w:ascii="宋体" w:hAnsi="宋体" w:eastAsia="宋体"/>
        </w:rPr>
        <w:br w:type="textWrapping"/>
      </w:r>
      <w:r>
        <w:rPr>
          <w:rFonts w:hint="eastAsia" w:ascii="宋体" w:hAnsi="宋体" w:eastAsia="宋体"/>
          <w:lang w:val="en-US" w:eastAsia="zh-CN"/>
        </w:rPr>
        <w:t xml:space="preserve">    </w:t>
      </w:r>
      <w:r>
        <w:rPr>
          <w:rFonts w:hint="eastAsia" w:ascii="宋体" w:hAnsi="宋体" w:eastAsia="宋体"/>
        </w:rPr>
        <w:t>第5章 风险分解结构编制：</w:t>
      </w:r>
      <w:r>
        <w:rPr>
          <w:rFonts w:hint="eastAsia"/>
          <w:lang w:val="en-US" w:eastAsia="zh-CN"/>
        </w:rPr>
        <w:t>明确RBS的分类方法、分级原则、编制方法、编制流程等。</w:t>
      </w:r>
    </w:p>
    <w:p w14:paraId="4C7FA5B0">
      <w:pPr>
        <w:numPr>
          <w:ilvl w:val="0"/>
          <w:numId w:val="0"/>
        </w:numPr>
        <w:ind w:firstLine="480" w:firstLineChars="200"/>
        <w:rPr>
          <w:rFonts w:hint="eastAsia" w:ascii="宋体" w:hAnsi="宋体" w:eastAsia="宋体"/>
        </w:rPr>
      </w:pPr>
      <w:bookmarkStart w:id="1" w:name="_GoBack"/>
      <w:bookmarkEnd w:id="1"/>
      <w:r>
        <w:rPr>
          <w:rFonts w:hint="eastAsia" w:ascii="宋体" w:hAnsi="宋体" w:eastAsia="宋体"/>
        </w:rPr>
        <w:t>第6章 应用与收益：依据GB/T 20032《项目风险管理 应用指南》，</w:t>
      </w:r>
      <w:r>
        <w:rPr>
          <w:rFonts w:hint="eastAsia"/>
          <w:lang w:val="en-US" w:eastAsia="zh-CN"/>
        </w:rPr>
        <w:t>基于风险管理与业务融合的原则，</w:t>
      </w:r>
      <w:r>
        <w:rPr>
          <w:rFonts w:hint="eastAsia" w:ascii="宋体" w:hAnsi="宋体" w:eastAsia="宋体"/>
        </w:rPr>
        <w:t>明确RBS</w:t>
      </w:r>
      <w:r>
        <w:rPr>
          <w:rFonts w:hint="eastAsia"/>
          <w:lang w:val="en-US" w:eastAsia="zh-CN"/>
        </w:rPr>
        <w:t>与项目管理各个</w:t>
      </w:r>
      <w:r>
        <w:rPr>
          <w:rFonts w:hint="eastAsia" w:ascii="宋体" w:hAnsi="宋体" w:eastAsia="宋体"/>
        </w:rPr>
        <w:t>环节的具体应用场景。</w:t>
      </w:r>
      <w:r>
        <w:rPr>
          <w:rFonts w:hint="eastAsia" w:ascii="宋体" w:hAnsi="宋体" w:eastAsia="宋体"/>
          <w:lang w:val="en-US" w:eastAsia="zh-CN"/>
        </w:rPr>
        <w:t xml:space="preserve">   </w:t>
      </w:r>
    </w:p>
    <w:p w14:paraId="6CC51CE2">
      <w:pPr>
        <w:numPr>
          <w:ilvl w:val="0"/>
          <w:numId w:val="6"/>
        </w:numPr>
        <w:rPr>
          <w:rFonts w:hint="eastAsia"/>
          <w:b/>
        </w:rPr>
      </w:pPr>
      <w:r>
        <w:rPr>
          <w:rFonts w:hint="eastAsia"/>
          <w:b/>
        </w:rPr>
        <w:t>解决的主要问题</w:t>
      </w:r>
    </w:p>
    <w:p w14:paraId="0F3C98B2">
      <w:pPr>
        <w:numPr>
          <w:ilvl w:val="0"/>
          <w:numId w:val="0"/>
        </w:numPr>
        <w:ind w:firstLine="480" w:firstLineChars="200"/>
        <w:rPr>
          <w:rFonts w:hint="eastAsia" w:ascii="宋体" w:hAnsi="宋体" w:eastAsia="宋体"/>
        </w:rPr>
      </w:pPr>
      <w:r>
        <w:rPr>
          <w:rFonts w:hint="eastAsia" w:ascii="宋体" w:hAnsi="宋体" w:eastAsia="宋体"/>
        </w:rPr>
        <w:t>本标准旨在系统解决当前核电工程建设风险管理中存在的以下问题：</w:t>
      </w:r>
    </w:p>
    <w:p w14:paraId="65AA5AD2">
      <w:pPr>
        <w:numPr>
          <w:ilvl w:val="0"/>
          <w:numId w:val="7"/>
        </w:numPr>
        <w:ind w:left="425" w:leftChars="0" w:hanging="425" w:firstLineChars="0"/>
        <w:rPr>
          <w:rFonts w:hint="eastAsia" w:ascii="宋体" w:hAnsi="宋体" w:eastAsia="宋体"/>
        </w:rPr>
      </w:pPr>
      <w:r>
        <w:rPr>
          <w:rFonts w:hint="eastAsia" w:ascii="宋体" w:hAnsi="宋体" w:eastAsia="宋体"/>
        </w:rPr>
        <w:t>风险语言不统一：各参与方（业主、总包、分包、供应商）对风险的理解和描述存在差异，导致沟通效率低下、风险信息传递失真。</w:t>
      </w:r>
    </w:p>
    <w:p w14:paraId="3E50BB20">
      <w:pPr>
        <w:numPr>
          <w:ilvl w:val="0"/>
          <w:numId w:val="7"/>
        </w:numPr>
        <w:ind w:left="425" w:leftChars="0" w:hanging="425" w:firstLineChars="0"/>
        <w:rPr>
          <w:rFonts w:hint="eastAsia" w:ascii="宋体" w:hAnsi="宋体" w:eastAsia="宋体"/>
        </w:rPr>
      </w:pPr>
      <w:r>
        <w:rPr>
          <w:rFonts w:hint="eastAsia" w:ascii="宋体" w:hAnsi="宋体" w:eastAsia="宋体"/>
        </w:rPr>
        <w:t>风险识别不系统：依赖个人经验或零散清单，容易遗漏重大风险，尤其是在技术复杂、接口繁多的核电项目中。</w:t>
      </w:r>
    </w:p>
    <w:p w14:paraId="287A6FE2">
      <w:pPr>
        <w:numPr>
          <w:ilvl w:val="0"/>
          <w:numId w:val="7"/>
        </w:numPr>
        <w:ind w:left="425" w:leftChars="0" w:hanging="425" w:firstLineChars="0"/>
        <w:rPr>
          <w:rFonts w:hint="eastAsia" w:ascii="宋体" w:hAnsi="宋体" w:eastAsia="宋体"/>
        </w:rPr>
      </w:pPr>
      <w:r>
        <w:rPr>
          <w:rFonts w:hint="eastAsia" w:ascii="宋体" w:hAnsi="宋体" w:eastAsia="宋体"/>
        </w:rPr>
        <w:t>责任归属不明确：风险与责任主体之间缺乏结构化映射，导致风险应对措施落实不到位。</w:t>
      </w:r>
    </w:p>
    <w:p w14:paraId="43D86263">
      <w:pPr>
        <w:numPr>
          <w:ilvl w:val="0"/>
          <w:numId w:val="7"/>
        </w:numPr>
        <w:ind w:left="425" w:leftChars="0" w:hanging="425" w:firstLineChars="0"/>
        <w:rPr>
          <w:rFonts w:hint="eastAsia" w:ascii="宋体" w:hAnsi="宋体" w:eastAsia="宋体"/>
        </w:rPr>
      </w:pPr>
      <w:r>
        <w:rPr>
          <w:rFonts w:hint="eastAsia" w:ascii="宋体" w:hAnsi="宋体" w:eastAsia="宋体"/>
        </w:rPr>
        <w:t>风险管理与项目管理脱节：风险信息未能有效融入WBS、进度、成本</w:t>
      </w:r>
      <w:r>
        <w:rPr>
          <w:rFonts w:hint="eastAsia" w:ascii="宋体" w:hAnsi="宋体" w:eastAsia="宋体"/>
          <w:lang w:eastAsia="zh-CN"/>
        </w:rPr>
        <w:t>、</w:t>
      </w:r>
      <w:r>
        <w:rPr>
          <w:rFonts w:hint="eastAsia" w:ascii="宋体" w:hAnsi="宋体" w:eastAsia="宋体"/>
          <w:lang w:val="en-US" w:eastAsia="zh-CN"/>
        </w:rPr>
        <w:t>经验反馈</w:t>
      </w:r>
      <w:r>
        <w:rPr>
          <w:rFonts w:hint="eastAsia" w:ascii="宋体" w:hAnsi="宋体" w:eastAsia="宋体"/>
        </w:rPr>
        <w:t>等核心管理体系中，难以实现真正的一体化管控。</w:t>
      </w:r>
    </w:p>
    <w:p w14:paraId="7AF1D0CF">
      <w:pPr>
        <w:outlineLvl w:val="0"/>
        <w:rPr>
          <w:rFonts w:hint="eastAsia" w:ascii="宋体" w:hAnsi="宋体" w:eastAsia="宋体"/>
          <w:b/>
          <w:sz w:val="28"/>
          <w:szCs w:val="28"/>
        </w:rPr>
      </w:pPr>
      <w:r>
        <w:rPr>
          <w:rFonts w:hint="eastAsia" w:ascii="宋体" w:hAnsi="宋体" w:eastAsia="宋体"/>
          <w:b/>
          <w:sz w:val="28"/>
          <w:szCs w:val="28"/>
        </w:rPr>
        <w:t>三、主要试验（或验证）情况</w:t>
      </w:r>
    </w:p>
    <w:p w14:paraId="772760CA">
      <w:pPr>
        <w:numPr>
          <w:ilvl w:val="0"/>
          <w:numId w:val="0"/>
        </w:numPr>
        <w:ind w:firstLine="480" w:firstLineChars="200"/>
        <w:rPr>
          <w:rFonts w:hint="eastAsia" w:ascii="宋体" w:hAnsi="宋体" w:eastAsia="宋体"/>
        </w:rPr>
      </w:pPr>
      <w:r>
        <w:rPr>
          <w:rFonts w:hint="eastAsia" w:ascii="宋体" w:hAnsi="宋体" w:eastAsia="宋体"/>
          <w:lang w:val="en-US" w:eastAsia="zh-CN"/>
        </w:rPr>
        <w:t>本团标内容基于项目风险管理实际的经验总结，已经过实践过程验证</w:t>
      </w:r>
      <w:r>
        <w:rPr>
          <w:rFonts w:hint="eastAsia" w:ascii="宋体" w:hAnsi="宋体" w:eastAsia="宋体"/>
        </w:rPr>
        <w:t>。</w:t>
      </w:r>
    </w:p>
    <w:p w14:paraId="4C99B765">
      <w:pPr>
        <w:outlineLvl w:val="0"/>
        <w:rPr>
          <w:b/>
          <w:sz w:val="28"/>
          <w:szCs w:val="28"/>
        </w:rPr>
      </w:pPr>
      <w:r>
        <w:rPr>
          <w:rFonts w:hint="eastAsia"/>
          <w:b/>
          <w:sz w:val="28"/>
          <w:szCs w:val="28"/>
        </w:rPr>
        <w:t>四、标准中涉及专利的情况</w:t>
      </w:r>
    </w:p>
    <w:p w14:paraId="2F865E7C">
      <w:pPr>
        <w:ind w:firstLine="480" w:firstLineChars="200"/>
        <w:rPr>
          <w:rFonts w:hint="eastAsia"/>
        </w:rPr>
      </w:pPr>
      <w:r>
        <w:rPr>
          <w:rFonts w:hint="eastAsia"/>
          <w:lang w:val="en-US" w:eastAsia="zh-CN"/>
        </w:rPr>
        <w:t>本团标不</w:t>
      </w:r>
      <w:r>
        <w:rPr>
          <w:rFonts w:hint="eastAsia"/>
        </w:rPr>
        <w:t>涉及</w:t>
      </w:r>
      <w:r>
        <w:rPr>
          <w:rFonts w:hint="eastAsia"/>
          <w:lang w:val="en-US" w:eastAsia="zh-CN"/>
        </w:rPr>
        <w:t>任何</w:t>
      </w:r>
      <w:r>
        <w:rPr>
          <w:rFonts w:hint="eastAsia"/>
        </w:rPr>
        <w:t>专利</w:t>
      </w:r>
      <w:r>
        <w:rPr>
          <w:rFonts w:hint="eastAsia"/>
          <w:lang w:val="en-US" w:eastAsia="zh-CN"/>
        </w:rPr>
        <w:t>问题</w:t>
      </w:r>
      <w:r>
        <w:rPr>
          <w:rFonts w:hint="eastAsia"/>
        </w:rPr>
        <w:t>。</w:t>
      </w:r>
    </w:p>
    <w:p w14:paraId="48FF79E6">
      <w:pPr>
        <w:outlineLvl w:val="0"/>
        <w:rPr>
          <w:b/>
          <w:sz w:val="28"/>
          <w:szCs w:val="28"/>
        </w:rPr>
      </w:pPr>
      <w:r>
        <w:rPr>
          <w:rFonts w:hint="eastAsia"/>
          <w:b/>
          <w:sz w:val="28"/>
          <w:szCs w:val="28"/>
        </w:rPr>
        <w:t>五、预期达到的社会效益、对产业发展的作用等情况</w:t>
      </w:r>
    </w:p>
    <w:p w14:paraId="5493E34E">
      <w:pPr>
        <w:ind w:firstLine="480" w:firstLineChars="200"/>
        <w:rPr>
          <w:rFonts w:hint="eastAsia" w:ascii="宋体" w:hAnsi="宋体" w:eastAsia="宋体"/>
          <w:lang w:val="en-US" w:eastAsia="zh-CN"/>
        </w:rPr>
      </w:pPr>
      <w:r>
        <w:rPr>
          <w:rFonts w:hint="eastAsia" w:ascii="宋体" w:hAnsi="宋体" w:eastAsia="宋体"/>
        </w:rPr>
        <w:t>本标准的制定</w:t>
      </w:r>
      <w:r>
        <w:rPr>
          <w:rFonts w:hint="eastAsia"/>
          <w:lang w:val="en-US" w:eastAsia="zh-CN"/>
        </w:rPr>
        <w:t>为核电工程建设项目风险分解结构制定提供指导性文件，</w:t>
      </w:r>
      <w:r>
        <w:rPr>
          <w:rFonts w:hint="eastAsia" w:ascii="宋体" w:hAnsi="宋体" w:eastAsia="宋体"/>
        </w:rPr>
        <w:t>预期将带来以下社会效益与产业推动作用：</w:t>
      </w:r>
    </w:p>
    <w:p w14:paraId="461DA175">
      <w:pPr>
        <w:numPr>
          <w:ilvl w:val="0"/>
          <w:numId w:val="8"/>
        </w:numPr>
        <w:ind w:firstLine="480" w:firstLineChars="200"/>
        <w:rPr>
          <w:rFonts w:hint="eastAsia" w:ascii="宋体" w:hAnsi="宋体" w:eastAsia="宋体"/>
        </w:rPr>
      </w:pPr>
      <w:r>
        <w:rPr>
          <w:rFonts w:hint="eastAsia" w:ascii="宋体" w:hAnsi="宋体" w:eastAsia="宋体"/>
        </w:rPr>
        <w:t>通过标准化、结构化的RBS，实现风险管理的系统化、精细化，显著提升项目成功率。</w:t>
      </w:r>
    </w:p>
    <w:p w14:paraId="6AA1CA3A">
      <w:pPr>
        <w:numPr>
          <w:ilvl w:val="0"/>
          <w:numId w:val="8"/>
        </w:numPr>
        <w:ind w:firstLine="480" w:firstLineChars="200"/>
        <w:rPr>
          <w:rFonts w:hint="eastAsia" w:ascii="宋体" w:hAnsi="宋体" w:eastAsia="宋体"/>
        </w:rPr>
      </w:pPr>
      <w:r>
        <w:rPr>
          <w:rFonts w:hint="eastAsia" w:ascii="宋体" w:hAnsi="宋体" w:eastAsia="宋体"/>
        </w:rPr>
        <w:t>形成可复用、可检索的风险数据库，推动行业知识沉淀与传承，减少同类风险重复发生。</w:t>
      </w:r>
    </w:p>
    <w:p w14:paraId="367F6626">
      <w:pPr>
        <w:numPr>
          <w:ilvl w:val="0"/>
          <w:numId w:val="8"/>
        </w:numPr>
        <w:ind w:firstLine="480" w:firstLineChars="200"/>
        <w:rPr>
          <w:rFonts w:hint="eastAsia" w:ascii="宋体" w:hAnsi="宋体" w:eastAsia="宋体"/>
        </w:rPr>
      </w:pPr>
      <w:r>
        <w:rPr>
          <w:rFonts w:hint="eastAsia" w:ascii="宋体" w:hAnsi="宋体" w:eastAsia="宋体"/>
        </w:rPr>
        <w:t>依托RBS风险热力图等功能，引导管理资源向高风险领域倾斜，提升资源使用效率。</w:t>
      </w:r>
    </w:p>
    <w:p w14:paraId="4FA24FDA">
      <w:pPr>
        <w:numPr>
          <w:ilvl w:val="0"/>
          <w:numId w:val="8"/>
        </w:numPr>
        <w:ind w:firstLine="480" w:firstLineChars="200"/>
        <w:rPr>
          <w:rFonts w:hint="eastAsia" w:ascii="宋体" w:hAnsi="宋体" w:eastAsia="宋体"/>
        </w:rPr>
      </w:pPr>
      <w:r>
        <w:rPr>
          <w:rFonts w:hint="eastAsia" w:ascii="宋体" w:hAnsi="宋体" w:eastAsia="宋体"/>
        </w:rPr>
        <w:t>推动中国核电项目管理标准与国际接轨，助力“核电走出去”战略实施。</w:t>
      </w:r>
    </w:p>
    <w:p w14:paraId="4189B643">
      <w:pPr>
        <w:numPr>
          <w:ilvl w:val="0"/>
          <w:numId w:val="8"/>
        </w:numPr>
        <w:ind w:firstLine="480" w:firstLineChars="200"/>
        <w:rPr>
          <w:rFonts w:hint="eastAsia" w:ascii="宋体" w:hAnsi="宋体" w:eastAsia="宋体"/>
        </w:rPr>
      </w:pPr>
      <w:r>
        <w:rPr>
          <w:rFonts w:hint="eastAsia" w:ascii="宋体" w:hAnsi="宋体" w:eastAsia="宋体"/>
        </w:rPr>
        <w:t>通过统一的风险语言和责任框架，加强业主、承包商、供应商之间的协作效率，促进产业链整体能力提升。</w:t>
      </w:r>
    </w:p>
    <w:p w14:paraId="05AB53B5">
      <w:pPr>
        <w:outlineLvl w:val="0"/>
        <w:rPr>
          <w:b/>
          <w:sz w:val="28"/>
          <w:szCs w:val="28"/>
        </w:rPr>
      </w:pPr>
      <w:r>
        <w:rPr>
          <w:rFonts w:hint="eastAsia"/>
          <w:b/>
          <w:sz w:val="28"/>
          <w:szCs w:val="28"/>
        </w:rPr>
        <w:t>六、与国际、国外对比情况</w:t>
      </w:r>
    </w:p>
    <w:p w14:paraId="30E0FE6D">
      <w:pPr>
        <w:ind w:firstLine="480" w:firstLineChars="200"/>
        <w:rPr>
          <w:rFonts w:hint="eastAsia" w:ascii="宋体" w:hAnsi="宋体" w:eastAsia="宋体"/>
          <w:lang w:val="en-US" w:eastAsia="zh-CN"/>
        </w:rPr>
      </w:pPr>
      <w:r>
        <w:rPr>
          <w:rFonts w:hint="eastAsia" w:ascii="宋体" w:hAnsi="宋体" w:eastAsia="宋体"/>
          <w:lang w:val="en-US" w:eastAsia="zh-CN"/>
        </w:rPr>
        <w:t>项目风险分解结构作为项目风险管理重要工具之一，在国内外的核电工程建设过程中已被广泛应用，常见的分类方式包括按照风险来源、发生阶段或责任主体划分。经调研BECHTEL、中核工程、上海核工院、大亚湾公司、宁德业主公司等单位，发现RBS因</w:t>
      </w:r>
      <w:r>
        <w:rPr>
          <w:rFonts w:hint="eastAsia" w:ascii="宋体" w:eastAsia="宋体"/>
          <w:color w:val="auto"/>
          <w:lang w:val="en-US" w:eastAsia="zh-CN"/>
        </w:rPr>
        <w:t>项目设计成熟度、</w:t>
      </w:r>
      <w:r>
        <w:rPr>
          <w:rFonts w:hint="eastAsia"/>
          <w:lang w:val="en-US" w:eastAsia="zh-CN"/>
        </w:rPr>
        <w:t>技术路线、项目组织模式</w:t>
      </w:r>
      <w:r>
        <w:rPr>
          <w:rFonts w:hint="eastAsia"/>
        </w:rPr>
        <w:t>以及复杂程度</w:t>
      </w:r>
      <w:r>
        <w:rPr>
          <w:rFonts w:hint="eastAsia"/>
          <w:lang w:val="en-US" w:eastAsia="zh-CN"/>
        </w:rPr>
        <w:t>不同而存在差异。本团标在总结共性结构的基础上，提出具有普适性和实用性的指导原则与方法，适用于各类核电项目的风险管理需求，</w:t>
      </w:r>
      <w:r>
        <w:rPr>
          <w:rFonts w:hint="eastAsia" w:ascii="宋体" w:hAnsi="宋体" w:eastAsia="宋体"/>
          <w:lang w:val="en-US" w:eastAsia="zh-CN"/>
        </w:rPr>
        <w:t>弥补了当前行业在该领域规范性指导文件的缺失。</w:t>
      </w:r>
    </w:p>
    <w:p w14:paraId="601A22B2">
      <w:pPr>
        <w:outlineLvl w:val="0"/>
        <w:rPr>
          <w:b/>
          <w:sz w:val="28"/>
          <w:szCs w:val="28"/>
        </w:rPr>
      </w:pPr>
      <w:r>
        <w:rPr>
          <w:rFonts w:hint="eastAsia"/>
          <w:b/>
          <w:sz w:val="28"/>
          <w:szCs w:val="28"/>
        </w:rPr>
        <w:t>七、在标准体系中的位置，与现行相关法律、法规、规章及标准，特别是强制性标准的协调性</w:t>
      </w:r>
    </w:p>
    <w:p w14:paraId="6499D201">
      <w:pPr>
        <w:ind w:firstLine="480" w:firstLineChars="200"/>
        <w:rPr>
          <w:rFonts w:hint="eastAsia" w:ascii="宋体" w:hAnsi="宋体" w:eastAsia="宋体"/>
          <w:lang w:val="en-US" w:eastAsia="zh-CN"/>
        </w:rPr>
      </w:pPr>
      <w:r>
        <w:rPr>
          <w:rFonts w:hint="eastAsia" w:ascii="宋体" w:hAnsi="宋体" w:eastAsia="宋体"/>
        </w:rPr>
        <w:t>经研读PMBOK、ISO 31000:2018、IEC 31010:2019等国际标准，以及GB/T 50326、GB/T 37507、GB/T 39903、NB/T 20405等国内标准，本标准与各项标准均无冲突，且可配套使用。特别是对GB/T 27921-2023中分层分类方法在核电领域的应用进行了总结与拓展，并与WBS标准（GB/T 39903-2021）实现信息整合。</w:t>
      </w:r>
    </w:p>
    <w:p w14:paraId="5478C1E9">
      <w:pPr>
        <w:outlineLvl w:val="0"/>
        <w:rPr>
          <w:b/>
          <w:sz w:val="28"/>
          <w:szCs w:val="28"/>
        </w:rPr>
      </w:pPr>
      <w:r>
        <w:rPr>
          <w:rFonts w:hint="eastAsia"/>
          <w:b/>
          <w:sz w:val="28"/>
          <w:szCs w:val="28"/>
        </w:rPr>
        <w:t>八、重大分歧意见的处理经过和依据</w:t>
      </w:r>
    </w:p>
    <w:p w14:paraId="7187C78C">
      <w:pPr>
        <w:ind w:firstLine="480" w:firstLineChars="200"/>
        <w:rPr>
          <w:rFonts w:hint="eastAsia"/>
        </w:rPr>
      </w:pPr>
      <w:r>
        <w:rPr>
          <w:rFonts w:hint="eastAsia"/>
          <w:lang w:val="en-US" w:eastAsia="zh-CN"/>
        </w:rPr>
        <w:t>原标准草案中对核电工程建设过程风险进行了分层分级梳理，但考虑到各项目管理组织模式和项目技术路线、管理难度的差异，各公司风险分解结构差异较大。</w:t>
      </w:r>
      <w:r>
        <w:rPr>
          <w:rFonts w:hint="eastAsia"/>
        </w:rPr>
        <w:t>在立项评审阶段，专家意见认为应突出标准的指南属性，淡化过于具体的企业实践差异。编制组据此调整文本定位，聚焦于方法论、原则和通用框架的指导，增强其跨项目、跨组织的适用性。</w:t>
      </w:r>
    </w:p>
    <w:p w14:paraId="5C80E8A2">
      <w:pPr>
        <w:outlineLvl w:val="0"/>
        <w:rPr>
          <w:b/>
          <w:sz w:val="28"/>
          <w:szCs w:val="28"/>
        </w:rPr>
      </w:pPr>
      <w:r>
        <w:rPr>
          <w:rFonts w:hint="eastAsia"/>
          <w:b/>
          <w:sz w:val="28"/>
          <w:szCs w:val="28"/>
        </w:rPr>
        <w:t>九、标准性质的建议说明</w:t>
      </w:r>
    </w:p>
    <w:p w14:paraId="1416892C">
      <w:pPr>
        <w:rPr>
          <w:rFonts w:hint="eastAsia"/>
          <w:i/>
        </w:rPr>
      </w:pPr>
      <w:r>
        <w:rPr>
          <w:rFonts w:hint="eastAsia"/>
        </w:rPr>
        <w:t>建议本标准的性质为团体标准。</w:t>
      </w:r>
    </w:p>
    <w:p w14:paraId="394DCEEC">
      <w:pPr>
        <w:outlineLvl w:val="0"/>
        <w:rPr>
          <w:b/>
          <w:sz w:val="28"/>
          <w:szCs w:val="28"/>
        </w:rPr>
      </w:pPr>
      <w:r>
        <w:rPr>
          <w:rFonts w:hint="eastAsia"/>
          <w:b/>
          <w:sz w:val="28"/>
          <w:szCs w:val="28"/>
        </w:rPr>
        <w:t>十、贯彻标准的要求和措施建议</w:t>
      </w:r>
    </w:p>
    <w:p w14:paraId="6612F4A0">
      <w:pPr>
        <w:ind w:firstLine="480" w:firstLineChars="200"/>
        <w:rPr>
          <w:rFonts w:hint="eastAsia" w:ascii="宋体" w:hAnsi="宋体" w:eastAsia="宋体"/>
          <w:lang w:val="en-US" w:eastAsia="zh-CN"/>
        </w:rPr>
      </w:pPr>
      <w:r>
        <w:rPr>
          <w:rFonts w:hint="eastAsia" w:ascii="宋体" w:hAnsi="宋体" w:eastAsia="宋体"/>
          <w:lang w:val="en-US" w:eastAsia="zh-CN"/>
        </w:rPr>
        <w:t>标准发布后，中广核工程有限公司将配合中国核能行业协会组织行业召开标准宣贯会，开展培训活动，促进该标准更好的贯彻实施。</w:t>
      </w:r>
    </w:p>
    <w:p w14:paraId="0CCDE9A8">
      <w:pPr>
        <w:rPr>
          <w:rFonts w:hint="eastAsia"/>
          <w:i/>
        </w:rPr>
      </w:pPr>
    </w:p>
    <w:p w14:paraId="0AE70389">
      <w:pPr>
        <w:outlineLvl w:val="0"/>
        <w:rPr>
          <w:b/>
          <w:sz w:val="28"/>
          <w:szCs w:val="28"/>
        </w:rPr>
      </w:pPr>
      <w:r>
        <w:rPr>
          <w:rFonts w:hint="eastAsia"/>
          <w:b/>
          <w:sz w:val="28"/>
          <w:szCs w:val="28"/>
        </w:rPr>
        <w:t>十一、废止现行相关标准的建议</w:t>
      </w:r>
    </w:p>
    <w:p w14:paraId="56019FDF">
      <w:pPr>
        <w:rPr>
          <w:rFonts w:hint="eastAsia" w:eastAsia="宋体"/>
          <w:i/>
          <w:lang w:val="en-US" w:eastAsia="zh-CN"/>
        </w:rPr>
      </w:pPr>
      <w:r>
        <w:rPr>
          <w:rFonts w:hint="eastAsia"/>
          <w:i/>
          <w:lang w:val="en-US" w:eastAsia="zh-CN"/>
        </w:rPr>
        <w:t>无。</w:t>
      </w:r>
    </w:p>
    <w:p w14:paraId="748F5A35">
      <w:pPr>
        <w:outlineLvl w:val="0"/>
        <w:rPr>
          <w:b/>
          <w:sz w:val="28"/>
          <w:szCs w:val="28"/>
        </w:rPr>
      </w:pPr>
      <w:r>
        <w:rPr>
          <w:rFonts w:hint="eastAsia"/>
          <w:b/>
          <w:sz w:val="28"/>
          <w:szCs w:val="28"/>
        </w:rPr>
        <w:t>十二、其他应予说明的事项</w:t>
      </w:r>
    </w:p>
    <w:p w14:paraId="39BA7A53">
      <w:pPr>
        <w:rPr>
          <w:rFonts w:hint="eastAsia" w:eastAsia="宋体"/>
          <w:i/>
          <w:lang w:val="en-US" w:eastAsia="zh-CN"/>
        </w:rPr>
      </w:pPr>
      <w:r>
        <w:rPr>
          <w:rFonts w:hint="eastAsia"/>
          <w:i/>
          <w:lang w:val="en-US" w:eastAsia="zh-CN"/>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0C6E7"/>
    <w:multiLevelType w:val="singleLevel"/>
    <w:tmpl w:val="B040C6E7"/>
    <w:lvl w:ilvl="0" w:tentative="0">
      <w:start w:val="1"/>
      <w:numFmt w:val="decimal"/>
      <w:suff w:val="space"/>
      <w:lvlText w:val="%1."/>
      <w:lvlJc w:val="left"/>
    </w:lvl>
  </w:abstractNum>
  <w:abstractNum w:abstractNumId="1">
    <w:nsid w:val="BC95B5FA"/>
    <w:multiLevelType w:val="singleLevel"/>
    <w:tmpl w:val="BC95B5FA"/>
    <w:lvl w:ilvl="0" w:tentative="0">
      <w:start w:val="1"/>
      <w:numFmt w:val="decimal"/>
      <w:lvlText w:val="%1)"/>
      <w:lvlJc w:val="left"/>
      <w:pPr>
        <w:ind w:left="425" w:hanging="425"/>
      </w:pPr>
      <w:rPr>
        <w:rFonts w:hint="default"/>
      </w:rPr>
    </w:lvl>
  </w:abstractNum>
  <w:abstractNum w:abstractNumId="2">
    <w:nsid w:val="C3CB9CA2"/>
    <w:multiLevelType w:val="singleLevel"/>
    <w:tmpl w:val="C3CB9CA2"/>
    <w:lvl w:ilvl="0" w:tentative="0">
      <w:start w:val="3"/>
      <w:numFmt w:val="decimal"/>
      <w:suff w:val="space"/>
      <w:lvlText w:val="第%1章"/>
      <w:lvlJc w:val="left"/>
    </w:lvl>
  </w:abstractNum>
  <w:abstractNum w:abstractNumId="3">
    <w:nsid w:val="E2697718"/>
    <w:multiLevelType w:val="singleLevel"/>
    <w:tmpl w:val="E2697718"/>
    <w:lvl w:ilvl="0" w:tentative="0">
      <w:start w:val="2"/>
      <w:numFmt w:val="decimal"/>
      <w:suff w:val="nothing"/>
      <w:lvlText w:val="%1、"/>
      <w:lvlJc w:val="left"/>
    </w:lvl>
  </w:abstractNum>
  <w:abstractNum w:abstractNumId="4">
    <w:nsid w:val="2B80FC43"/>
    <w:multiLevelType w:val="singleLevel"/>
    <w:tmpl w:val="2B80FC43"/>
    <w:lvl w:ilvl="0" w:tentative="0">
      <w:start w:val="3"/>
      <w:numFmt w:val="decimal"/>
      <w:suff w:val="nothing"/>
      <w:lvlText w:val="%1、"/>
      <w:lvlJc w:val="left"/>
    </w:lvl>
  </w:abstractNum>
  <w:abstractNum w:abstractNumId="5">
    <w:nsid w:val="3E48F842"/>
    <w:multiLevelType w:val="singleLevel"/>
    <w:tmpl w:val="3E48F842"/>
    <w:lvl w:ilvl="0" w:tentative="0">
      <w:start w:val="1"/>
      <w:numFmt w:val="decimal"/>
      <w:suff w:val="nothing"/>
      <w:lvlText w:val="%1、"/>
      <w:lvlJc w:val="left"/>
    </w:lvl>
  </w:abstractNum>
  <w:abstractNum w:abstractNumId="6">
    <w:nsid w:val="4409A93C"/>
    <w:multiLevelType w:val="singleLevel"/>
    <w:tmpl w:val="4409A93C"/>
    <w:lvl w:ilvl="0" w:tentative="0">
      <w:start w:val="1"/>
      <w:numFmt w:val="decimal"/>
      <w:lvlText w:val="%1)"/>
      <w:lvlJc w:val="left"/>
      <w:pPr>
        <w:ind w:left="425" w:hanging="425"/>
      </w:pPr>
      <w:rPr>
        <w:rFonts w:hint="default"/>
      </w:rPr>
    </w:lvl>
  </w:abstractNum>
  <w:abstractNum w:abstractNumId="7">
    <w:nsid w:val="5004D04C"/>
    <w:multiLevelType w:val="singleLevel"/>
    <w:tmpl w:val="5004D04C"/>
    <w:lvl w:ilvl="0" w:tentative="0">
      <w:start w:val="1"/>
      <w:numFmt w:val="decimal"/>
      <w:suff w:val="nothing"/>
      <w:lvlText w:val="%1、"/>
      <w:lvlJc w:val="left"/>
    </w:lvl>
  </w:abstractNum>
  <w:num w:numId="1">
    <w:abstractNumId w:val="3"/>
  </w:num>
  <w:num w:numId="2">
    <w:abstractNumId w:val="5"/>
  </w:num>
  <w:num w:numId="3">
    <w:abstractNumId w:val="7"/>
  </w:num>
  <w:num w:numId="4">
    <w:abstractNumId w:val="1"/>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147096D"/>
    <w:rsid w:val="04322907"/>
    <w:rsid w:val="0CDB5BEF"/>
    <w:rsid w:val="0ED71286"/>
    <w:rsid w:val="0F055A46"/>
    <w:rsid w:val="0F813C29"/>
    <w:rsid w:val="125F5E47"/>
    <w:rsid w:val="1B7E48E8"/>
    <w:rsid w:val="368861C7"/>
    <w:rsid w:val="37C90F5F"/>
    <w:rsid w:val="43151A75"/>
    <w:rsid w:val="44670F6B"/>
    <w:rsid w:val="462D0D18"/>
    <w:rsid w:val="475C459B"/>
    <w:rsid w:val="545275C0"/>
    <w:rsid w:val="5D5D3642"/>
    <w:rsid w:val="631B4D9C"/>
    <w:rsid w:val="63575F86"/>
    <w:rsid w:val="71547B7D"/>
    <w:rsid w:val="76B70ECF"/>
    <w:rsid w:val="793A5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617</Words>
  <Characters>673</Characters>
  <Lines>8</Lines>
  <Paragraphs>2</Paragraphs>
  <TotalTime>0</TotalTime>
  <ScaleCrop>false</ScaleCrop>
  <LinksUpToDate>false</LinksUpToDate>
  <CharactersWithSpaces>678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TheGeek</cp:lastModifiedBy>
  <dcterms:modified xsi:type="dcterms:W3CDTF">2025-10-24T03:23:34Z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A19661FCBFC446BF9FEEBF976EC7884C_13</vt:lpwstr>
  </property>
  <property fmtid="{D5CDD505-2E9C-101B-9397-08002B2CF9AE}" pid="4" name="KSOTemplateDocerSaveRecord">
    <vt:lpwstr>eyJoZGlkIjoiMGY5MTg3YzQ5MjhlMzdmMTg3YjIxOTFiZDk1ZTI0MGQiLCJ1c2VySWQiOiIxNTk4MTY0MDgyIn0=</vt:lpwstr>
  </property>
</Properties>
</file>